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57" w:rsidRDefault="00E20C57" w:rsidP="00E20C57">
      <w:bookmarkStart w:id="0" w:name="OLE_LINK1"/>
      <w:bookmarkStart w:id="1" w:name="OLE_LINK2"/>
    </w:p>
    <w:p w:rsidR="00887021" w:rsidRDefault="00E2259D">
      <w:pPr>
        <w:jc w:val="center"/>
        <w:rPr>
          <w:b/>
          <w:sz w:val="28"/>
        </w:rPr>
      </w:pPr>
      <w:r>
        <w:rPr>
          <w:b/>
          <w:sz w:val="28"/>
        </w:rPr>
        <w:t>АНАЛИТИЧЕСКАЯ СПРАВКА</w:t>
      </w:r>
    </w:p>
    <w:p w:rsidR="00887021" w:rsidRDefault="00E2259D">
      <w:pPr>
        <w:jc w:val="center"/>
        <w:rPr>
          <w:b/>
          <w:sz w:val="28"/>
        </w:rPr>
      </w:pPr>
      <w:r>
        <w:rPr>
          <w:b/>
          <w:sz w:val="28"/>
        </w:rPr>
        <w:t>о результатах проведения внутреннего</w:t>
      </w:r>
    </w:p>
    <w:p w:rsidR="00887021" w:rsidRDefault="00E2259D">
      <w:pPr>
        <w:jc w:val="center"/>
        <w:rPr>
          <w:b/>
          <w:sz w:val="28"/>
        </w:rPr>
      </w:pPr>
      <w:r>
        <w:rPr>
          <w:b/>
          <w:sz w:val="28"/>
        </w:rPr>
        <w:t>анализа коррупционных рисков</w:t>
      </w:r>
    </w:p>
    <w:p w:rsidR="00887021" w:rsidRDefault="00E2259D">
      <w:pPr>
        <w:jc w:val="center"/>
      </w:pPr>
      <w:r>
        <w:t> </w:t>
      </w:r>
    </w:p>
    <w:p w:rsidR="00887021" w:rsidRDefault="00E2259D">
      <w:pPr>
        <w:jc w:val="both"/>
        <w:rPr>
          <w:b/>
          <w:sz w:val="28"/>
        </w:rPr>
      </w:pPr>
      <w:r>
        <w:rPr>
          <w:b/>
          <w:sz w:val="28"/>
        </w:rPr>
        <w:t>Основания для проведения:</w:t>
      </w:r>
    </w:p>
    <w:p w:rsidR="00887021" w:rsidRDefault="00E2259D">
      <w:pPr>
        <w:numPr>
          <w:ilvl w:val="0"/>
          <w:numId w:val="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пункт 5 статьи 8 Закона «О противодействии коррупции»; </w:t>
      </w:r>
    </w:p>
    <w:p w:rsidR="00887021" w:rsidRDefault="00E2259D">
      <w:pPr>
        <w:numPr>
          <w:ilvl w:val="0"/>
          <w:numId w:val="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пункт 50 Плана работ РГП «КазСтандарт» на 2022 год; </w:t>
      </w:r>
    </w:p>
    <w:p w:rsidR="00887021" w:rsidRDefault="00E2259D">
      <w:pPr>
        <w:numPr>
          <w:ilvl w:val="0"/>
          <w:numId w:val="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приказ Генерального директора РГП «КазСтандарт» от 1 ноября 2022 года №771. </w:t>
      </w:r>
    </w:p>
    <w:p w:rsidR="00887021" w:rsidRDefault="00E2259D">
      <w:pPr>
        <w:jc w:val="both"/>
        <w:rPr>
          <w:sz w:val="28"/>
        </w:rPr>
      </w:pPr>
      <w:r>
        <w:rPr>
          <w:b/>
          <w:sz w:val="28"/>
        </w:rPr>
        <w:t xml:space="preserve">Период проведения: </w:t>
      </w:r>
      <w:r>
        <w:rPr>
          <w:sz w:val="28"/>
        </w:rPr>
        <w:t>с 1 ноября по 1 декабря 2022 года.</w:t>
      </w:r>
    </w:p>
    <w:p w:rsidR="00887021" w:rsidRDefault="00E2259D">
      <w:pPr>
        <w:jc w:val="both"/>
        <w:rPr>
          <w:sz w:val="28"/>
        </w:rPr>
      </w:pPr>
      <w:r>
        <w:rPr>
          <w:color w:val="000000"/>
          <w:sz w:val="28"/>
        </w:rPr>
        <w:t xml:space="preserve">2 октября 2020 года Постановлением Правительства №639 создан РГП на праве хозяйственного ведения «Казахстанский институт стандартизации и метрологии» </w:t>
      </w:r>
      <w:r>
        <w:rPr>
          <w:i/>
          <w:color w:val="000000"/>
          <w:sz w:val="28"/>
        </w:rPr>
        <w:t>(далее РГП «КазСтандарт»)</w:t>
      </w:r>
      <w:r>
        <w:rPr>
          <w:color w:val="000000"/>
          <w:sz w:val="28"/>
        </w:rPr>
        <w:t xml:space="preserve"> путем слияния Института стандартизации и сертификации и Института метрологии, и наделен статусами Государственного научного метрологического центра </w:t>
      </w:r>
      <w:r>
        <w:rPr>
          <w:i/>
          <w:color w:val="000000"/>
          <w:sz w:val="28"/>
        </w:rPr>
        <w:t>(далее ГНМЦ)</w:t>
      </w:r>
      <w:r>
        <w:rPr>
          <w:color w:val="000000"/>
          <w:sz w:val="28"/>
        </w:rPr>
        <w:t xml:space="preserve"> и Национального органа по стандартизации.</w:t>
      </w:r>
      <w:r>
        <w:rPr>
          <w:sz w:val="28"/>
        </w:rPr>
        <w:t xml:space="preserve"> В составе РГП «КазСтандарт» входят 7 филиалов:</w:t>
      </w:r>
    </w:p>
    <w:p w:rsidR="00887021" w:rsidRDefault="00E2259D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Филиал по г.Алматы и Алматинской области (г.Алматы); </w:t>
      </w:r>
    </w:p>
    <w:p w:rsidR="00887021" w:rsidRDefault="00E2259D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Филиал по г. Шымкент и Туркестанской области (г. Шымкент); </w:t>
      </w:r>
    </w:p>
    <w:p w:rsidR="00887021" w:rsidRDefault="00E2259D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Актюбинский филиал (г.Актобе); </w:t>
      </w:r>
    </w:p>
    <w:p w:rsidR="00887021" w:rsidRDefault="00E2259D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Восточно-Казахстанский филиал (г.Усть-Каменогорск); </w:t>
      </w:r>
    </w:p>
    <w:p w:rsidR="00887021" w:rsidRDefault="00E2259D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Западно-Казахстанский филиал (г.Уральск); </w:t>
      </w:r>
    </w:p>
    <w:p w:rsidR="00887021" w:rsidRDefault="00E2259D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Карагандинский филиал (г.Караганды); </w:t>
      </w:r>
    </w:p>
    <w:p w:rsidR="00887021" w:rsidRDefault="00E2259D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Северо-Казахстанский филиал (г.Петропавловск). </w:t>
      </w:r>
    </w:p>
    <w:p w:rsidR="00887021" w:rsidRDefault="00E2259D">
      <w:pPr>
        <w:jc w:val="both"/>
      </w:pPr>
      <w:r>
        <w:t> </w:t>
      </w:r>
    </w:p>
    <w:p w:rsidR="00887021" w:rsidRDefault="00E2259D">
      <w:pPr>
        <w:jc w:val="both"/>
        <w:rPr>
          <w:sz w:val="28"/>
        </w:rPr>
      </w:pPr>
      <w:r>
        <w:rPr>
          <w:b/>
          <w:sz w:val="28"/>
        </w:rPr>
        <w:t>Полное наименование объекта анализа:</w:t>
      </w:r>
      <w:r>
        <w:rPr>
          <w:sz w:val="28"/>
        </w:rPr>
        <w:t xml:space="preserve"> Республиканское Государственное Предприятие на праве хозяйственного ведения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Казахстан.</w:t>
      </w:r>
    </w:p>
    <w:p w:rsidR="00887021" w:rsidRDefault="00E2259D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Департамент Стратегического Развития и Науки (далее ДСРиН); </w:t>
      </w:r>
    </w:p>
    <w:p w:rsidR="00887021" w:rsidRDefault="00E2259D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Департамент Экспертизы и Правовой Работы (далее ДЭиПР); </w:t>
      </w:r>
    </w:p>
    <w:p w:rsidR="00887021" w:rsidRDefault="00E2259D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Департамент Финансов (далее ДФ); </w:t>
      </w:r>
    </w:p>
    <w:p w:rsidR="00887021" w:rsidRDefault="00E2259D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Департамент Разработки Нормативных Технических Документов (далее ДР НТД). </w:t>
      </w:r>
    </w:p>
    <w:p w:rsidR="00887021" w:rsidRDefault="00E2259D">
      <w:pPr>
        <w:jc w:val="both"/>
      </w:pPr>
      <w:r>
        <w:t> </w:t>
      </w:r>
    </w:p>
    <w:p w:rsidR="00887021" w:rsidRDefault="00E2259D">
      <w:pPr>
        <w:jc w:val="both"/>
        <w:rPr>
          <w:b/>
          <w:sz w:val="28"/>
        </w:rPr>
      </w:pPr>
      <w:r>
        <w:rPr>
          <w:b/>
          <w:sz w:val="28"/>
        </w:rPr>
        <w:t>Состав рабочей группы:</w:t>
      </w:r>
    </w:p>
    <w:p w:rsidR="00887021" w:rsidRDefault="00E2259D">
      <w:pPr>
        <w:numPr>
          <w:ilvl w:val="0"/>
          <w:numId w:val="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Жернаков С.П. – менеджер по комплаенс «КазСтандарта», руководитель рабочей группы. </w:t>
      </w:r>
    </w:p>
    <w:p w:rsidR="00887021" w:rsidRDefault="00E2259D">
      <w:pPr>
        <w:numPr>
          <w:ilvl w:val="0"/>
          <w:numId w:val="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Утегенова А.Е. – менеджер по внутреннему аудиту «КазСтандарта». </w:t>
      </w:r>
    </w:p>
    <w:p w:rsidR="00887021" w:rsidRDefault="00E2259D">
      <w:pPr>
        <w:jc w:val="both"/>
      </w:pPr>
      <w:r>
        <w:t> </w:t>
      </w:r>
    </w:p>
    <w:p w:rsidR="00887021" w:rsidRDefault="00E2259D">
      <w:pPr>
        <w:jc w:val="both"/>
        <w:rPr>
          <w:b/>
          <w:sz w:val="28"/>
        </w:rPr>
      </w:pPr>
      <w:r>
        <w:rPr>
          <w:b/>
          <w:sz w:val="28"/>
        </w:rPr>
        <w:t>Перечень нормативных правовых актов, регулирующих деятельность «КазСтандарта»: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Закон Республики Казахстан «О государственном имуществе» от 1 марта 2011 года № 413-IV;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lastRenderedPageBreak/>
        <w:t>- Закон Республики Казахстан «О ратификации Договора о Евразийском экономическом союзе» от 14 октября 2014 года № 240-V ЗРК;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Закон Республики Казахстан «О стандартизации» от 5 октября 2018 года № 183-VІ ЗРК;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Закон Республики Казахстан «О техническом регулировании» от 9 ноября 2004 года № 603;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Закон Республики Казахстан «Об обеспечении единства измерений» от 7 июня 2000 года № 53-II;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Постановление Правительства Республики Казахстан от 11 июля 2005 года N 718 «Об утверждении Правил создания и функционирования Информационного центра по техническим барьерам в торговле, санитарным и фитосанитарным мерам»;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Приказ Министра торговли и интеграции Республики Казахстан от 27 мая 2021 года № 368-НҚ «Об утверждении Правил присвоения международных идентификационных кодов изготовителям транспортных средств, формы свидетельства о присвоении международного идентификационного кода изготовителю транспортного средства»;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Приказ Министра торговли и интеграции Республики Казахстан от 14 мая 2021 года № 336-НҚ «Об утверждении Правил по утверждению и регистрации одобрений типа транспортного средства, одобрений типа шасси»;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Приказ Министра по инвестициям и развитию Республики Казахстан от 26 декабря 2018 года № 918 «Об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стандартизации»;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Приказ Министра торговли и интеграции Республики Казахстан от 8 июня 2021 года № 397-НҚ «Об утверждении Правил по проверке правильности и обоснованности оформления одобрений типа транспортного средства, одобрений типа шасси»;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Приказ Министра по инвестициям и развитию Республики Казахстан от 12 декабря 2018 года № 870 «Об утверждении Правил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государств»;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- Приказ Министра по инвестициям и развитию Республики Казахстан от 27 декабря 2018 года № 931 «Об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«Выдача сертификата об утверждении типа средств измерений» и «Выдача сертификата о </w:t>
      </w:r>
      <w:r>
        <w:rPr>
          <w:sz w:val="28"/>
        </w:rPr>
        <w:lastRenderedPageBreak/>
        <w:t>метрологической аттестации средств измерений», формы сертификата об утверждении типа средств измерений и установления формы знака утверждения типа»;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Приказ Министра по инвестициям и развитию Республики Казахстан от 27 декабря 2018 года № 930 «Об утверждении Правил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измерений»;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- Приказ Министра по инвестициям и развитию Республики Казахстан от 27 декабря 2018 года № 934 «Об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измерений».</w:t>
      </w:r>
    </w:p>
    <w:p w:rsidR="00887021" w:rsidRDefault="00E2259D">
      <w:pPr>
        <w:jc w:val="both"/>
      </w:pPr>
      <w:r>
        <w:t> </w:t>
      </w:r>
    </w:p>
    <w:p w:rsidR="00887021" w:rsidRDefault="00E2259D">
      <w:pPr>
        <w:jc w:val="center"/>
        <w:rPr>
          <w:b/>
          <w:sz w:val="28"/>
        </w:rPr>
      </w:pPr>
      <w:r>
        <w:rPr>
          <w:b/>
          <w:sz w:val="28"/>
        </w:rPr>
        <w:t>Результаты внутреннего анализа коррупционных рисков.</w:t>
      </w:r>
    </w:p>
    <w:p w:rsidR="00887021" w:rsidRDefault="00E2259D">
      <w:pPr>
        <w:jc w:val="center"/>
      </w:pPr>
      <w:r>
        <w:t> </w:t>
      </w:r>
    </w:p>
    <w:p w:rsidR="00887021" w:rsidRDefault="00E2259D">
      <w:pPr>
        <w:numPr>
          <w:ilvl w:val="0"/>
          <w:numId w:val="5"/>
        </w:numPr>
        <w:tabs>
          <w:tab w:val="left" w:pos="0"/>
        </w:tabs>
        <w:jc w:val="both"/>
        <w:rPr>
          <w:sz w:val="28"/>
        </w:rPr>
      </w:pPr>
      <w:r>
        <w:rPr>
          <w:b/>
          <w:sz w:val="28"/>
          <w:u w:val="single"/>
        </w:rPr>
        <w:t>Вопросы управления персоналом</w:t>
      </w:r>
      <w:r>
        <w:rPr>
          <w:sz w:val="28"/>
        </w:rPr>
        <w:t xml:space="preserve"> 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Организационно-управленческая деятельность РГП «КазСтандарта» регламентирована ДП 05 «Управление персоналом».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Департамент Стратегического Развития и Науки является структурным подразделением Республиканского государственного предприятия на праве хозяйственного ведения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 (</w:t>
      </w:r>
      <w:r>
        <w:rPr>
          <w:i/>
          <w:sz w:val="28"/>
        </w:rPr>
        <w:t>далее ДСРиН</w:t>
      </w:r>
      <w:r>
        <w:rPr>
          <w:sz w:val="28"/>
        </w:rPr>
        <w:t xml:space="preserve">). 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Деятельность Департамента непосредственно курирует Генеральный Директор «КазСтандарта». ДСРиН  возглавляет руководитель.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В 2022 году штатная численность Департамента составляла 13 единиц, фактическая - 12 единиц </w:t>
      </w:r>
      <w:r>
        <w:rPr>
          <w:i/>
          <w:sz w:val="24"/>
        </w:rPr>
        <w:t>(по состоянию на 1 ноября 2022 года)</w:t>
      </w:r>
      <w:r>
        <w:rPr>
          <w:sz w:val="28"/>
        </w:rPr>
        <w:t>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Структура Департамента включает в себя 4 направления: </w:t>
      </w:r>
    </w:p>
    <w:p w:rsidR="00887021" w:rsidRDefault="00E2259D">
      <w:pPr>
        <w:numPr>
          <w:ilvl w:val="0"/>
          <w:numId w:val="6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Стратегическое планирование и развитие (3ед.); </w:t>
      </w:r>
    </w:p>
    <w:p w:rsidR="00887021" w:rsidRDefault="00E2259D">
      <w:pPr>
        <w:numPr>
          <w:ilvl w:val="0"/>
          <w:numId w:val="6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Научная деятельность (3ед.); </w:t>
      </w:r>
    </w:p>
    <w:p w:rsidR="00887021" w:rsidRDefault="00E2259D">
      <w:pPr>
        <w:numPr>
          <w:ilvl w:val="0"/>
          <w:numId w:val="6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Развитие человеческих ресурсов и кадровое делопроизводство (2ед.); </w:t>
      </w:r>
    </w:p>
    <w:p w:rsidR="00887021" w:rsidRDefault="00E2259D">
      <w:pPr>
        <w:numPr>
          <w:ilvl w:val="0"/>
          <w:numId w:val="6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Подготовка, переподготовка, повышение квалификации кадров КазСтандарта, а также кадров в области технического регулирования, обеспечения единства измерений и сфере стандартизации (3ед.). 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За отчетный период принятые работники при приеме на работу </w:t>
      </w:r>
      <w:proofErr w:type="gramStart"/>
      <w:r>
        <w:rPr>
          <w:sz w:val="28"/>
        </w:rPr>
        <w:t>предоставляли справку</w:t>
      </w:r>
      <w:proofErr w:type="gramEnd"/>
      <w:r>
        <w:rPr>
          <w:sz w:val="28"/>
        </w:rPr>
        <w:t xml:space="preserve"> по коррупционным преступлениям с КПС и СУ Генеральной Прокуратуры РК.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В 2022 году с учетом специфики Института ДСРиН назначены всего только 32 кандидата.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Принцип меритократии: в 2022 году на вышестоящие должности назначено 10 сотрудников КазСтандарта, освобождено от занимаемых должностей 29 сотрудников.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Фактов увольнения сотрудников «КазСтандарта» по отрицательным мотивам нет.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lastRenderedPageBreak/>
        <w:t>В 2022 году привлечено к дисциплинарной ответственности 10 сотрудников «КазСтандарта», из них 4 руководителей.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По видам дисциплинарной ответственности:</w:t>
      </w:r>
    </w:p>
    <w:p w:rsidR="00887021" w:rsidRDefault="00E2259D">
      <w:pPr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7 замечаний; </w:t>
      </w:r>
    </w:p>
    <w:p w:rsidR="00887021" w:rsidRDefault="00E2259D">
      <w:pPr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3 выговоров; </w:t>
      </w:r>
    </w:p>
    <w:p w:rsidR="00887021" w:rsidRDefault="00E2259D">
      <w:pPr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0 строгий выговор. 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Основными причинами дисциплинарной ответственности сотрудников КазСтандарта являются ненадлежащее или неисполнение должностных обязанностей. 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Досрочно снято 10 дисциплинарных взысканий. Фактов нарушения законодательства при этом не установлено. 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Фактов привлечения сотрудников «КазСтандарта» к дисциплинарной ответственности в 2020-2022 годах за коррупционные правонарушения или проступки, дискредитирующие организацию, не установлено.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Фактов привлечения сотрудников «Казстандарта» к административной и уголовной ответственности в 2020-2022 годах за коррупционные правонарушения не установлено. 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В указанный период за совершение коррупционных уголовных правонарушений осужденных не имеется.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Данные подтверждены ГУ Комитет по правовой статистике и специальным учетам Генеральной Прокуратуры РК </w:t>
      </w:r>
      <w:r>
        <w:rPr>
          <w:i/>
          <w:sz w:val="24"/>
        </w:rPr>
        <w:t>(рег.№ 2-20-22-18414 от 28.11.2022 года).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Не эффективное использование дисциплинарной практики стало результатом слабой исполнительской дисциплины и привело к отсутствию функционального анализа и рекомендаций генеральному директору для устранения возникающих проблем.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По результатам анализа </w:t>
      </w:r>
      <w:r>
        <w:rPr>
          <w:b/>
          <w:sz w:val="28"/>
        </w:rPr>
        <w:t>выявлены следующие КОРРУПЦИОННЫЕ РИСКИ</w:t>
      </w:r>
      <w:r>
        <w:rPr>
          <w:sz w:val="28"/>
        </w:rPr>
        <w:t>:</w:t>
      </w:r>
    </w:p>
    <w:p w:rsidR="00887021" w:rsidRDefault="00E2259D">
      <w:pPr>
        <w:jc w:val="both"/>
      </w:pPr>
      <w:r>
        <w:t> </w:t>
      </w:r>
    </w:p>
    <w:tbl>
      <w:tblPr>
        <w:tblW w:w="940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</w:tblCellMar>
        <w:tblLook w:val="04A0" w:firstRow="1" w:lastRow="0" w:firstColumn="1" w:lastColumn="0" w:noHBand="0" w:noVBand="1"/>
      </w:tblPr>
      <w:tblGrid>
        <w:gridCol w:w="1516"/>
        <w:gridCol w:w="4865"/>
        <w:gridCol w:w="3024"/>
      </w:tblGrid>
      <w:tr w:rsidR="00887021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left w:w="98" w:type="dxa"/>
            </w:tcMar>
            <w:vAlign w:val="center"/>
          </w:tcPr>
          <w:p w:rsidR="00887021" w:rsidRDefault="00E2259D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87021" w:rsidRDefault="00E2259D">
            <w:pPr>
              <w:spacing w:after="283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5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РИСК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РЕКОМЕНДАЦИИ</w:t>
            </w:r>
          </w:p>
        </w:tc>
      </w:tr>
      <w:tr w:rsidR="00887021">
        <w:tc>
          <w:tcPr>
            <w:tcW w:w="940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pPr>
              <w:spacing w:after="28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Управление персоналом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t xml:space="preserve">1.                 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Большой удельный вес досрочно снятых дисциплинарных взысканий; Не применение мер дисциплинарного характера к лицам, совершившим или допустившим нарушения законодательства …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Внести изменения в состав и порядок рассмотрения дисциплинарной комиссии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t xml:space="preserve">2.                 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регламентированная процедура формирования кадрового резерва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Разработать и внедрить процедуру формирования кадрового резерва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t xml:space="preserve">3.                 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Руководители структурных подразделений при необходимости </w:t>
            </w:r>
            <w:r>
              <w:rPr>
                <w:i/>
                <w:color w:val="000000"/>
                <w:sz w:val="24"/>
              </w:rPr>
              <w:t>(в случае реструктуризации)</w:t>
            </w:r>
            <w:r>
              <w:rPr>
                <w:color w:val="000000"/>
                <w:sz w:val="24"/>
              </w:rPr>
              <w:t xml:space="preserve"> должны проводить функциональный анализ с целью более </w:t>
            </w:r>
            <w:r>
              <w:rPr>
                <w:color w:val="000000"/>
                <w:sz w:val="24"/>
              </w:rPr>
              <w:lastRenderedPageBreak/>
              <w:t>рационального эффективного распределения функциональных обязанностей и нагрузки между работниками подразделения.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Внести изменения в должностные инструкции по подразделениям КазСтандарта, </w:t>
            </w:r>
            <w:r>
              <w:rPr>
                <w:color w:val="000000"/>
                <w:sz w:val="24"/>
              </w:rPr>
              <w:lastRenderedPageBreak/>
              <w:t>направленных на устранение коррупционных факторов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lastRenderedPageBreak/>
              <w:t xml:space="preserve">4.                 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Пересмотреть и закрепить функции контроля подразделения хозяйственной части 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Конкретизировать и закрепить  полномочия должностных лиц по вопросам хозяйственной части 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t xml:space="preserve">5.                 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конкретизированы функции подразделения, что создает широту полномочий.</w:t>
            </w:r>
          </w:p>
          <w:p w:rsidR="00887021" w:rsidRDefault="00E2259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Размытая задача (в соответствии с Положением о Департаментах)</w:t>
            </w:r>
          </w:p>
          <w:p w:rsidR="00887021" w:rsidRDefault="00E2259D">
            <w:pP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положениях (ДИТУ, ДГЭ, ДПТОиОС) отсутствуют функции по координации деятельности аналогичных направлений в филиалах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Перераспределить полномочия в КазСтандарте, изменить структуру, оптимизировать штатную численность.</w:t>
            </w:r>
          </w:p>
          <w:p w:rsidR="00887021" w:rsidRDefault="00E2259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Привести положение о департаментах в соответствие с требованиями законодательства. Четко сформулировать задачи и функции.</w:t>
            </w:r>
          </w:p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Определить в положениях функции и полномочия заместителей директора.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t xml:space="preserve">6.                 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Механизмы прекращения исполнения работниками своих должностных обязанностей в случае конфликта интересов четко не регламентированы. 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Разработать и утвердить процедуру урегулирования конфликта интересов.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t xml:space="preserve">7.                 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Несфокусированный контроль лиц, подверженных коррупционным рискам.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учетом всех организационных изменений повторно разработать реестр должностей, подверженных коррупционным рискам. 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t xml:space="preserve">8.                 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Положения о бюджетной комиссии  установлено наличие коррупционного риска по неопределенности процедуры принятия решения. В положении предусмотрено нечетное количество членов, однако процедура принятия решения путем голосования и в случае равенства голосов не предусмотрена.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Приказом №812 от 16.11.2022 года Положение дополнено соответствующим разделом регламентирующим процедуру принятия решения.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t xml:space="preserve">9.                 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даты создания РГП «КазСтандарт» проведено два аудиторских мероприятия главным специалистом  Службы внутреннего аудита (сейчас – менеджер по внутреннему аудиту),  момент проведения анализа </w:t>
            </w:r>
            <w:r>
              <w:rPr>
                <w:color w:val="000000"/>
                <w:sz w:val="24"/>
              </w:rPr>
              <w:lastRenderedPageBreak/>
              <w:t>внутренних рисков совпал с проведением аудиторского мероприятия Департаментом внутреннего аудита Министерства торговли и интеграции Республики Казахстан.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333333"/>
                <w:sz w:val="24"/>
                <w:highlight w:val="white"/>
              </w:rPr>
            </w:pPr>
            <w:r>
              <w:rPr>
                <w:color w:val="333333"/>
                <w:sz w:val="24"/>
                <w:highlight w:val="white"/>
              </w:rPr>
              <w:lastRenderedPageBreak/>
              <w:t>Подготовлены рекомендации  № 00/13626 от 14.12.2022</w:t>
            </w:r>
          </w:p>
        </w:tc>
      </w:tr>
      <w:tr w:rsidR="00887021"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</w:tcMar>
            <w:vAlign w:val="center"/>
          </w:tcPr>
          <w:p w:rsidR="00887021" w:rsidRDefault="00E2259D">
            <w:r>
              <w:rPr>
                <w:color w:val="000000"/>
                <w:sz w:val="24"/>
              </w:rPr>
              <w:lastRenderedPageBreak/>
              <w:t xml:space="preserve">10.             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исполнение требований антикоррупционной политики и стандарта в Институте. При выборочном мониторинге договоров установлено отсутствие антикоррупционных оговорок в договорах №22,23,25, (по науке) 85/С от 22.09.2022 года, №76/С от 26.08.2022 года, №70/С от 18.08.2022 года (ЗКФ), №664 от 03.08.2022 года (обеспечение НТД), №724 от 16.09.2022 года, 771 от 10.10.2022 года (ВКФ) и др.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28" w:type="dxa"/>
            </w:tcMar>
            <w:vAlign w:val="center"/>
          </w:tcPr>
          <w:p w:rsidR="00887021" w:rsidRDefault="00E2259D">
            <w:pPr>
              <w:spacing w:after="283"/>
              <w:jc w:val="both"/>
            </w:pPr>
            <w:r>
              <w:rPr>
                <w:color w:val="000000"/>
                <w:sz w:val="24"/>
              </w:rPr>
              <w:t xml:space="preserve">Слабый контроль со стороны курирующих заместителей и </w:t>
            </w:r>
            <w:r>
              <w:rPr>
                <w:sz w:val="24"/>
              </w:rPr>
              <w:t>ДЭПР</w:t>
            </w:r>
          </w:p>
        </w:tc>
      </w:tr>
    </w:tbl>
    <w:p w:rsidR="00887021" w:rsidRDefault="00E2259D">
      <w:pPr>
        <w:jc w:val="both"/>
      </w:pPr>
      <w:r>
        <w:t> </w:t>
      </w:r>
    </w:p>
    <w:p w:rsidR="00887021" w:rsidRDefault="00E2259D">
      <w:pPr>
        <w:numPr>
          <w:ilvl w:val="0"/>
          <w:numId w:val="8"/>
        </w:numPr>
        <w:tabs>
          <w:tab w:val="left" w:pos="0"/>
        </w:tabs>
        <w:jc w:val="both"/>
        <w:rPr>
          <w:sz w:val="28"/>
        </w:rPr>
      </w:pPr>
      <w:r>
        <w:rPr>
          <w:b/>
          <w:sz w:val="28"/>
          <w:u w:val="single"/>
        </w:rPr>
        <w:t>Вопросы конфликта интересов</w:t>
      </w:r>
      <w:r>
        <w:rPr>
          <w:sz w:val="28"/>
        </w:rPr>
        <w:t xml:space="preserve"> 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Согласно ДП 13 «Стандарт по противодействию коррупции»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обязанностей. 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Работнику запрещается осуществлять должностные полномочия, если имеется конфликт интересов. Он обязан в письменной форме уведомить своего непосредственного руководителя или руководство госоргана о возникшем конфликте интересов или возможности его возникновения, как только ему станет об этом известно.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>Помимо этого, работник не может занимать должность, находящуюся в непосредственной подчиненности должности, занимаемой его близкими родственниками, а также иметь в непосредственном подчинении близких родственников (</w:t>
      </w:r>
      <w:r>
        <w:rPr>
          <w:i/>
          <w:sz w:val="24"/>
        </w:rPr>
        <w:t>антикоррупционное ограничение</w:t>
      </w:r>
      <w:r>
        <w:rPr>
          <w:sz w:val="28"/>
        </w:rPr>
        <w:t>).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За отчетный период ДСРиН факты конфликта интересов и работы близких родственников </w:t>
      </w:r>
      <w:r>
        <w:rPr>
          <w:i/>
          <w:sz w:val="24"/>
        </w:rPr>
        <w:t>(и иной категории)</w:t>
      </w:r>
      <w:r>
        <w:rPr>
          <w:sz w:val="28"/>
        </w:rPr>
        <w:t xml:space="preserve"> в непосредственном подчинении не установлены. Указанное является следствием отсутствия процедуры проверки вновь назначенных и действующих работников, а также процедуры урегулирования конфликта интересов.</w:t>
      </w:r>
    </w:p>
    <w:p w:rsidR="00887021" w:rsidRDefault="00E2259D">
      <w:pPr>
        <w:jc w:val="both"/>
        <w:rPr>
          <w:sz w:val="28"/>
        </w:rPr>
      </w:pPr>
      <w:r>
        <w:rPr>
          <w:sz w:val="28"/>
        </w:rPr>
        <w:t xml:space="preserve">Имеются факты расширенного применения случаев допустимости заключения договоров из одного источника путем прямого заключения. Так, согласно пп.45) п.3 ст.39 – «приобретения материалов выставок, семинаров, конференций, совещаний, форумов, симпозиумов, тренингов», в договоре (№201040035452/210422/00) предусмотрена оплата за обучение технике безопасности и пожарной безопасности. Аналогично по договору (№201040035452/210385/00) где проведены услуги эксперта по подготовке документации в сотрудничестве, партнерской поддержке аудиторов, помощь </w:t>
      </w:r>
      <w:r>
        <w:rPr>
          <w:sz w:val="28"/>
        </w:rPr>
        <w:lastRenderedPageBreak/>
        <w:t>при возможных спорах и договорах (№201040035452/220203/00, №201040035452/220235/00) где проведено повышение квалификации работников. Полагаю целесообразным минимизировать данную практику.</w:t>
      </w:r>
    </w:p>
    <w:p w:rsidR="00887021" w:rsidRDefault="00E2259D">
      <w:pPr>
        <w:jc w:val="both"/>
      </w:pPr>
      <w:r>
        <w:t> </w:t>
      </w:r>
    </w:p>
    <w:p w:rsidR="00887021" w:rsidRDefault="00E2259D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Дополнительные рекомендации:</w:t>
      </w:r>
    </w:p>
    <w:p w:rsidR="00887021" w:rsidRDefault="00E2259D">
      <w:pPr>
        <w:numPr>
          <w:ilvl w:val="0"/>
          <w:numId w:val="9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Разработать и утвердить документ, регламентирующий порядок размещения временно свободных денежных средств на текущих счетах банков, соответствующих мер мониторинга, контроля и персональной ответственности уполномоченных лиц. </w:t>
      </w:r>
    </w:p>
    <w:p w:rsidR="00887021" w:rsidRDefault="00E2259D">
      <w:pPr>
        <w:numPr>
          <w:ilvl w:val="0"/>
          <w:numId w:val="9"/>
        </w:numPr>
        <w:tabs>
          <w:tab w:val="left" w:pos="0"/>
        </w:tabs>
        <w:spacing w:after="283"/>
        <w:jc w:val="both"/>
        <w:rPr>
          <w:sz w:val="28"/>
        </w:rPr>
      </w:pPr>
      <w:r>
        <w:rPr>
          <w:sz w:val="28"/>
        </w:rPr>
        <w:t xml:space="preserve">После утверждения положения о регулировании конфликта интересов закрепить в каждом подразделении лиц, ответственных за мониторинг и регулирование конфликта интересов. </w:t>
      </w:r>
    </w:p>
    <w:p w:rsidR="00E20C57" w:rsidRDefault="00E20C57" w:rsidP="00E20C57">
      <w:pPr>
        <w:rPr>
          <w:sz w:val="28"/>
          <w:szCs w:val="28"/>
        </w:rPr>
      </w:pPr>
    </w:p>
    <w:p w:rsidR="00E20C57" w:rsidRDefault="00E20C57" w:rsidP="00E20C57">
      <w:pPr>
        <w:rPr>
          <w:sz w:val="28"/>
          <w:szCs w:val="28"/>
          <w:lang w:val="kk-KZ"/>
        </w:rPr>
      </w:pPr>
    </w:p>
    <w:tbl>
      <w:tblPr>
        <w:tblStyle w:val="a3"/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394"/>
      </w:tblGrid>
      <w:tr w:rsidR="00E20C57" w:rsidRPr="003B32E6" w:rsidTr="00C145A4">
        <w:trPr>
          <w:trHeight w:val="133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E20C57" w:rsidRPr="003B32E6" w:rsidRDefault="00E20C57" w:rsidP="003B32E6">
            <w:pPr>
              <w:pStyle w:val="a4"/>
              <w:rPr>
                <w:b/>
                <w:sz w:val="28"/>
                <w:szCs w:val="28"/>
              </w:rPr>
            </w:pPr>
            <w:bookmarkStart w:id="2" w:name="OLE_LINK24"/>
            <w:bookmarkStart w:id="3" w:name="OLE_LINK25"/>
            <w:r w:rsidRPr="003B32E6">
              <w:rPr>
                <w:b/>
                <w:noProof/>
                <w:sz w:val="28"/>
                <w:szCs w:val="28"/>
              </w:rPr>
              <w:t>Комплаенс-менеджер</w:t>
            </w:r>
            <w:bookmarkEnd w:id="2"/>
            <w:bookmarkEnd w:id="3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20C57" w:rsidRPr="003B32E6" w:rsidRDefault="009D6319" w:rsidP="003B32E6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Жернаков С.П.</w:t>
            </w:r>
          </w:p>
        </w:tc>
      </w:tr>
    </w:tbl>
    <w:p w:rsidR="00E20C57" w:rsidRDefault="00E20C57" w:rsidP="00E20C57">
      <w:pPr>
        <w:rPr>
          <w:sz w:val="28"/>
          <w:szCs w:val="28"/>
        </w:rPr>
      </w:pPr>
    </w:p>
    <w:p w:rsidR="00E20C57" w:rsidRDefault="00E20C57" w:rsidP="00E20C57">
      <w:pPr>
        <w:rPr>
          <w:sz w:val="28"/>
          <w:szCs w:val="28"/>
        </w:rPr>
      </w:pPr>
      <w:bookmarkStart w:id="4" w:name="_GoBack"/>
      <w:bookmarkEnd w:id="0"/>
      <w:bookmarkEnd w:id="1"/>
      <w:bookmarkEnd w:id="4"/>
    </w:p>
    <w:sectPr w:rsidR="00E2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379"/>
    <w:multiLevelType w:val="multilevel"/>
    <w:tmpl w:val="09CE6E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26B10DD8"/>
    <w:multiLevelType w:val="multilevel"/>
    <w:tmpl w:val="8054735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2D9B45E2"/>
    <w:multiLevelType w:val="multilevel"/>
    <w:tmpl w:val="7CD8DF4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3A0228F1"/>
    <w:multiLevelType w:val="multilevel"/>
    <w:tmpl w:val="A8F8A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A187B02"/>
    <w:multiLevelType w:val="multilevel"/>
    <w:tmpl w:val="98B4A0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3C693A14"/>
    <w:multiLevelType w:val="multilevel"/>
    <w:tmpl w:val="C122D5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4D434BB9"/>
    <w:multiLevelType w:val="multilevel"/>
    <w:tmpl w:val="67E63C6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594621AA"/>
    <w:multiLevelType w:val="multilevel"/>
    <w:tmpl w:val="7D5211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6863790E"/>
    <w:multiLevelType w:val="multilevel"/>
    <w:tmpl w:val="C4E6338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79550D0D"/>
    <w:multiLevelType w:val="multilevel"/>
    <w:tmpl w:val="BCE079E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57"/>
    <w:rsid w:val="000B15B5"/>
    <w:rsid w:val="002325BF"/>
    <w:rsid w:val="00304526"/>
    <w:rsid w:val="00310096"/>
    <w:rsid w:val="00337812"/>
    <w:rsid w:val="003B32E6"/>
    <w:rsid w:val="00421780"/>
    <w:rsid w:val="0062687E"/>
    <w:rsid w:val="00641F6B"/>
    <w:rsid w:val="007130C8"/>
    <w:rsid w:val="007849EE"/>
    <w:rsid w:val="007B57DB"/>
    <w:rsid w:val="00887021"/>
    <w:rsid w:val="00917C9F"/>
    <w:rsid w:val="00996B1B"/>
    <w:rsid w:val="009B314B"/>
    <w:rsid w:val="009D6319"/>
    <w:rsid w:val="00A534A0"/>
    <w:rsid w:val="00B03491"/>
    <w:rsid w:val="00B2595A"/>
    <w:rsid w:val="00BA7E50"/>
    <w:rsid w:val="00BE4E9E"/>
    <w:rsid w:val="00BF06EE"/>
    <w:rsid w:val="00C145A4"/>
    <w:rsid w:val="00C414D4"/>
    <w:rsid w:val="00C41EE7"/>
    <w:rsid w:val="00E20C57"/>
    <w:rsid w:val="00E2259D"/>
    <w:rsid w:val="00E4208D"/>
    <w:rsid w:val="00E76B84"/>
    <w:rsid w:val="00EC0990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0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2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0C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2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 Zhernakov</cp:lastModifiedBy>
  <cp:revision>2</cp:revision>
  <dcterms:created xsi:type="dcterms:W3CDTF">2023-05-26T05:19:00Z</dcterms:created>
  <dcterms:modified xsi:type="dcterms:W3CDTF">2023-05-26T05:19:00Z</dcterms:modified>
</cp:coreProperties>
</file>