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542"/>
      </w:tblGrid>
      <w:tr w:rsidR="00953AD5" w14:paraId="3E7F3CCB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00A3C664" w14:textId="77777777" w:rsidR="00953AD5" w:rsidRDefault="00000000">
            <w:pPr>
              <w:spacing w:before="240" w:after="0"/>
              <w:ind w:right="-144" w:hanging="142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14:paraId="25FEA3BA" w14:textId="77777777" w:rsidR="00953AD5" w:rsidRDefault="00000000">
            <w:pPr>
              <w:ind w:right="-144" w:hanging="142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)</w:t>
            </w:r>
          </w:p>
          <w:p w14:paraId="34DBCF4B" w14:textId="77777777" w:rsidR="00953AD5" w:rsidRDefault="00000000">
            <w:pPr>
              <w:ind w:right="-144" w:hanging="142"/>
              <w:jc w:val="center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6FAC427A" w14:textId="77777777" w:rsidR="00953AD5" w:rsidRDefault="00000000">
            <w:pPr>
              <w:spacing w:after="240"/>
              <w:ind w:right="-144" w:hanging="142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>(EASC)</w:t>
            </w:r>
          </w:p>
        </w:tc>
      </w:tr>
      <w:tr w:rsidR="00953AD5" w14:paraId="527D37C5" w14:textId="77777777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324BFA5C" w14:textId="77777777" w:rsidR="00953AD5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pacing w:val="50"/>
                <w:sz w:val="28"/>
                <w:szCs w:val="28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6D8E85FB" wp14:editId="0FB6CE78">
                  <wp:extent cx="1019175" cy="1019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" t="-72" r="-72" b="-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27D06142" w14:textId="77777777" w:rsidR="00953AD5" w:rsidRDefault="00000000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pacing w:val="50"/>
                <w:sz w:val="28"/>
                <w:szCs w:val="28"/>
              </w:rPr>
              <w:t>МЕЖГОСУДАРСТВЕННЫЙ</w:t>
            </w:r>
          </w:p>
          <w:p w14:paraId="002FDF8C" w14:textId="77777777" w:rsidR="00953AD5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</w:tcPr>
          <w:p w14:paraId="479FA4AC" w14:textId="77777777" w:rsidR="00953AD5" w:rsidRDefault="00000000">
            <w:pPr>
              <w:spacing w:before="360" w:after="0"/>
              <w:ind w:left="119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 xml:space="preserve">ГОСТ </w:t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  <w:lang w:val="en-US" w:eastAsia="en-US"/>
              </w:rPr>
              <w:t>ISO</w:t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 xml:space="preserve"> 13029-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>(проект, RU, окончательная редакция)</w:t>
            </w:r>
          </w:p>
        </w:tc>
      </w:tr>
    </w:tbl>
    <w:p w14:paraId="28D16E43" w14:textId="77777777" w:rsidR="00953AD5" w:rsidRDefault="00000000">
      <w:pPr>
        <w:pStyle w:val="FORMATTEXT"/>
        <w:rPr>
          <w:color w:val="000000"/>
        </w:rPr>
      </w:pPr>
      <w:r>
        <w:rPr>
          <w:rFonts w:eastAsia="Arial"/>
          <w:color w:val="000000"/>
        </w:rPr>
        <w:t xml:space="preserve"> </w:t>
      </w:r>
    </w:p>
    <w:p w14:paraId="057FD730" w14:textId="77777777" w:rsidR="00953AD5" w:rsidRDefault="00953AD5">
      <w:pPr>
        <w:spacing w:line="360" w:lineRule="auto"/>
        <w:rPr>
          <w:rFonts w:ascii="Arial" w:hAnsi="Arial" w:cs="Arial"/>
          <w:b/>
          <w:color w:val="000000"/>
          <w:sz w:val="28"/>
        </w:rPr>
      </w:pPr>
    </w:p>
    <w:p w14:paraId="146EED8F" w14:textId="77777777" w:rsidR="00953AD5" w:rsidRDefault="00953AD5">
      <w:pPr>
        <w:spacing w:line="360" w:lineRule="auto"/>
        <w:rPr>
          <w:rFonts w:ascii="Arial" w:hAnsi="Arial" w:cs="Arial"/>
          <w:b/>
          <w:color w:val="000000"/>
          <w:sz w:val="28"/>
        </w:rPr>
      </w:pPr>
    </w:p>
    <w:p w14:paraId="7E9C455C" w14:textId="77777777" w:rsidR="00953AD5" w:rsidRDefault="00000000">
      <w:pPr>
        <w:spacing w:after="0" w:line="24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32"/>
          <w:szCs w:val="32"/>
        </w:rPr>
        <w:t>МАТЕРИАЛЫ И ИЗДЕЛИЯ ТЕКСТИЛЬНЫЕ</w:t>
      </w:r>
    </w:p>
    <w:p w14:paraId="4C1DE663" w14:textId="77777777" w:rsidR="00953AD5" w:rsidRDefault="00953AD5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21C497E" w14:textId="77777777" w:rsidR="00953AD5" w:rsidRDefault="00000000">
      <w:pPr>
        <w:spacing w:after="0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32"/>
          <w:szCs w:val="32"/>
        </w:rPr>
        <w:t>Метод определения скорости высыхания в динамическом режиме (метод испытаний с использованием модифицированной греющей пластины с имитацией потоотделения и горячей охранной зоной)</w:t>
      </w:r>
    </w:p>
    <w:p w14:paraId="023C4556" w14:textId="77777777" w:rsidR="00953AD5" w:rsidRDefault="00953AD5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5D3CB08F" w14:textId="77777777" w:rsidR="00953AD5" w:rsidRDefault="00953AD5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7C4E4041" w14:textId="77777777" w:rsidR="00953AD5" w:rsidRDefault="00000000">
      <w:pPr>
        <w:pStyle w:val="af0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(ISO 13029:2012,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</w:p>
    <w:p w14:paraId="6103FA71" w14:textId="77777777" w:rsidR="00953AD5" w:rsidRDefault="00000000">
      <w:pPr>
        <w:pStyle w:val="af0"/>
        <w:jc w:val="center"/>
        <w:rPr>
          <w:color w:val="000000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Textiles — Determination of drying rate in dynamic state by the modified sweating</w:t>
      </w:r>
      <w:r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guarded hotplate, IDT)</w:t>
      </w:r>
    </w:p>
    <w:p w14:paraId="70ABB291" w14:textId="77777777" w:rsidR="00953AD5" w:rsidRDefault="00953AD5">
      <w:pPr>
        <w:pStyle w:val="af0"/>
        <w:jc w:val="center"/>
        <w:rPr>
          <w:rFonts w:ascii="Arial" w:hAnsi="Arial" w:cs="Arial"/>
          <w:b/>
          <w:i/>
          <w:color w:val="000000"/>
          <w:sz w:val="28"/>
          <w:szCs w:val="24"/>
          <w:lang w:val="en-US"/>
        </w:rPr>
      </w:pPr>
    </w:p>
    <w:p w14:paraId="05EE45A3" w14:textId="77777777" w:rsidR="00953AD5" w:rsidRDefault="00953AD5">
      <w:pPr>
        <w:pStyle w:val="af0"/>
        <w:jc w:val="center"/>
        <w:rPr>
          <w:rFonts w:ascii="Arial" w:hAnsi="Arial" w:cs="Arial"/>
          <w:b/>
          <w:i/>
          <w:color w:val="000000"/>
          <w:sz w:val="28"/>
          <w:szCs w:val="24"/>
          <w:lang w:val="en-US"/>
        </w:rPr>
      </w:pPr>
    </w:p>
    <w:p w14:paraId="20F2337E" w14:textId="77777777" w:rsidR="00953AD5" w:rsidRDefault="00953AD5">
      <w:pPr>
        <w:pStyle w:val="af0"/>
        <w:jc w:val="center"/>
        <w:rPr>
          <w:rFonts w:ascii="Arial" w:hAnsi="Arial" w:cs="Arial"/>
          <w:b/>
          <w:i/>
          <w:color w:val="000000"/>
          <w:sz w:val="28"/>
          <w:szCs w:val="24"/>
          <w:lang w:val="en-US"/>
        </w:rPr>
      </w:pPr>
    </w:p>
    <w:p w14:paraId="06AE21DF" w14:textId="77777777" w:rsidR="00953AD5" w:rsidRDefault="00000000">
      <w:pPr>
        <w:spacing w:line="360" w:lineRule="auto"/>
        <w:ind w:firstLine="709"/>
        <w:jc w:val="center"/>
        <w:rPr>
          <w:color w:val="000000"/>
        </w:rPr>
      </w:pPr>
      <w:r>
        <w:rPr>
          <w:rFonts w:ascii="Arial" w:hAnsi="Arial" w:cs="Arial"/>
          <w:i/>
          <w:color w:val="000000"/>
          <w:sz w:val="24"/>
          <w:szCs w:val="24"/>
          <w:lang w:eastAsia="en-US"/>
        </w:rPr>
        <w:t>Настоящий проект стандарта не подлежит применению до его принятия</w:t>
      </w:r>
    </w:p>
    <w:p w14:paraId="61562B38" w14:textId="77777777" w:rsidR="00953AD5" w:rsidRDefault="00953AD5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41C500EC" w14:textId="77777777" w:rsidR="00953AD5" w:rsidRDefault="00953AD5">
      <w:pPr>
        <w:pStyle w:val="HEADERTEXT"/>
        <w:rPr>
          <w:b/>
          <w:bCs/>
          <w:color w:val="000000"/>
        </w:rPr>
      </w:pPr>
    </w:p>
    <w:p w14:paraId="3DC1480F" w14:textId="77777777" w:rsidR="00953AD5" w:rsidRDefault="00953AD5">
      <w:pPr>
        <w:pStyle w:val="HEADERTEXT"/>
        <w:rPr>
          <w:b/>
          <w:bCs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953AD5" w14:paraId="7E87E7E3" w14:textId="77777777">
        <w:tc>
          <w:tcPr>
            <w:tcW w:w="9854" w:type="dxa"/>
          </w:tcPr>
          <w:p w14:paraId="3AF637A0" w14:textId="77777777" w:rsidR="00953AD5" w:rsidRDefault="00000000">
            <w:pPr>
              <w:pStyle w:val="HEADERTEX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Минск</w:t>
            </w:r>
          </w:p>
          <w:p w14:paraId="12C0B63E" w14:textId="77777777" w:rsidR="00953AD5" w:rsidRDefault="00000000">
            <w:pPr>
              <w:pStyle w:val="HEADERTEX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Евразийский совет по стандартизации, метрологии и сертификации</w:t>
            </w:r>
          </w:p>
          <w:p w14:paraId="061C1615" w14:textId="77777777" w:rsidR="00953AD5" w:rsidRDefault="00000000">
            <w:pPr>
              <w:pStyle w:val="HEADERTEX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****</w:t>
            </w:r>
          </w:p>
        </w:tc>
      </w:tr>
    </w:tbl>
    <w:p w14:paraId="3ED7DB83" w14:textId="77777777" w:rsidR="00953AD5" w:rsidRDefault="00953AD5">
      <w:pPr>
        <w:rPr>
          <w:color w:val="000000"/>
        </w:rPr>
        <w:sectPr w:rsidR="00953AD5">
          <w:headerReference w:type="even" r:id="rId10"/>
          <w:headerReference w:type="default" r:id="rId11"/>
          <w:footerReference w:type="default" r:id="rId12"/>
          <w:pgSz w:w="11906" w:h="16838"/>
          <w:pgMar w:top="993" w:right="851" w:bottom="1134" w:left="1418" w:header="278" w:footer="278" w:gutter="0"/>
          <w:pgNumType w:fmt="lowerRoman" w:start="1"/>
          <w:cols w:space="720"/>
          <w:titlePg/>
          <w:docGrid w:linePitch="312" w:charSpace="-2458"/>
        </w:sectPr>
      </w:pPr>
    </w:p>
    <w:p w14:paraId="7A0D07BA" w14:textId="77777777" w:rsidR="00953AD5" w:rsidRDefault="00000000">
      <w:pPr>
        <w:pStyle w:val="HEADERTEXT"/>
        <w:spacing w:line="360" w:lineRule="auto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lastRenderedPageBreak/>
        <w:t>Предисловие</w:t>
      </w:r>
    </w:p>
    <w:p w14:paraId="60EE7449" w14:textId="77777777" w:rsidR="00953AD5" w:rsidRDefault="00000000">
      <w:pPr>
        <w:pStyle w:val="FORMATTEXT"/>
        <w:spacing w:line="360" w:lineRule="auto"/>
        <w:ind w:firstLine="568"/>
        <w:jc w:val="both"/>
        <w:rPr>
          <w:color w:val="000000"/>
        </w:rPr>
      </w:pPr>
      <w:r>
        <w:rPr>
          <w:color w:val="000000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6F00F54" w14:textId="77777777" w:rsidR="00953AD5" w:rsidRDefault="00000000">
      <w:pPr>
        <w:pStyle w:val="21"/>
        <w:widowControl/>
        <w:suppressAutoHyphens w:val="0"/>
        <w:spacing w:line="360" w:lineRule="auto"/>
        <w:ind w:firstLine="709"/>
        <w:jc w:val="both"/>
        <w:rPr>
          <w:color w:val="000000"/>
        </w:rPr>
      </w:pPr>
      <w:r>
        <w:rPr>
          <w:rFonts w:ascii="Arial" w:hAnsi="Arial" w:cs="Arial"/>
          <w:b w:val="0"/>
          <w:color w:val="000000"/>
          <w:szCs w:val="24"/>
        </w:rPr>
        <w:t>Цели, основные принципы и основной порядок проведения работ по межгосударственной стандартизации установлены ГОСТ 1.0–2015 «Межгосударственная система стандартизации. Основные положения» и         ГОСТ 1.2-2015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288D831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Сведения о стандарте</w:t>
      </w:r>
    </w:p>
    <w:p w14:paraId="46DA9F00" w14:textId="77777777" w:rsidR="00953AD5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ПОДГОТОВЛЕН Производственно-внедренческим обществом с ограниченной ответственностью «Фирма «Техноавиа» (ПВ ООО «Фирма «Техноавиа») на основе собственного перевода на русский язык англоязычной версии указанного в пункте 4 стандарта </w:t>
      </w:r>
    </w:p>
    <w:p w14:paraId="4C129C9D" w14:textId="77777777" w:rsidR="00953AD5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010F162B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3AD22F03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4"/>
        </w:rPr>
        <w:t>За принятие проголосовали</w:t>
      </w:r>
      <w:r>
        <w:rPr>
          <w:color w:val="000000"/>
        </w:rPr>
        <w:t>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1843"/>
        <w:gridCol w:w="5197"/>
      </w:tblGrid>
      <w:tr w:rsidR="00953AD5" w14:paraId="7761E8A7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625332" w14:textId="77777777" w:rsidR="00953AD5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Краткое наименование страны по МК </w:t>
            </w:r>
          </w:p>
          <w:p w14:paraId="531E6095" w14:textId="77777777" w:rsidR="00953AD5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6C0F8A" w14:textId="77777777" w:rsidR="00953AD5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D120C" w14:textId="77777777" w:rsidR="00953AD5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Сокращенное наименование </w:t>
            </w:r>
          </w:p>
          <w:p w14:paraId="47CA4C4C" w14:textId="77777777" w:rsidR="00953AD5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национального органа </w:t>
            </w:r>
          </w:p>
          <w:p w14:paraId="36DDD5DA" w14:textId="77777777" w:rsidR="00953AD5" w:rsidRDefault="00000000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 стандартизации</w:t>
            </w:r>
          </w:p>
        </w:tc>
      </w:tr>
      <w:tr w:rsidR="00953AD5" w14:paraId="6EB2ADDA" w14:textId="77777777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7546B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E4930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A98C0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3AD5" w14:paraId="5DC5E355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C47590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DEE869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6C87A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3AD5" w14:paraId="27DF8528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AF2D1E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628754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E7A89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3AD5" w14:paraId="03301C49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040987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EE4A26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F5FEF" w14:textId="77777777" w:rsidR="00953AD5" w:rsidRDefault="00953AD5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7B9C26E" w14:textId="77777777" w:rsidR="00953AD5" w:rsidRDefault="00953AD5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14:paraId="5C64F2B8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4 Настоящий стандарт идентичен международному стандарту </w:t>
      </w:r>
      <w:r>
        <w:rPr>
          <w:color w:val="000000"/>
          <w:sz w:val="24"/>
          <w:szCs w:val="24"/>
          <w:lang w:val="en-US"/>
        </w:rPr>
        <w:t>ISO</w:t>
      </w:r>
      <w:r>
        <w:rPr>
          <w:color w:val="000000"/>
          <w:sz w:val="24"/>
          <w:szCs w:val="24"/>
        </w:rPr>
        <w:t xml:space="preserve"> 13029:2012 «Материалы и изделия текстильные. Определение скорости сушки в динамическом режиме с использованием модифицированной греющей пластины с имитацией потоотделения и горячей охранной зоной» (</w:t>
      </w:r>
      <w:r>
        <w:rPr>
          <w:color w:val="000000"/>
          <w:sz w:val="24"/>
          <w:szCs w:val="24"/>
          <w:lang w:val="en-US"/>
        </w:rPr>
        <w:t>ISO</w:t>
      </w:r>
      <w:r>
        <w:rPr>
          <w:color w:val="000000"/>
          <w:sz w:val="24"/>
          <w:szCs w:val="24"/>
        </w:rPr>
        <w:t xml:space="preserve"> 13029:2012, </w:t>
      </w:r>
      <w:r>
        <w:rPr>
          <w:bCs/>
          <w:color w:val="000000"/>
          <w:sz w:val="24"/>
          <w:szCs w:val="24"/>
          <w:lang w:val="en-US"/>
        </w:rPr>
        <w:t>Textiles</w:t>
      </w:r>
      <w:r>
        <w:rPr>
          <w:bCs/>
          <w:color w:val="000000"/>
          <w:sz w:val="24"/>
          <w:szCs w:val="24"/>
        </w:rPr>
        <w:t xml:space="preserve"> — </w:t>
      </w:r>
      <w:r>
        <w:rPr>
          <w:bCs/>
          <w:color w:val="000000"/>
          <w:sz w:val="24"/>
          <w:szCs w:val="24"/>
          <w:lang w:val="en-US"/>
        </w:rPr>
        <w:t>Determination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of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drying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rate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in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dynamic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state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by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the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modified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sweating</w:t>
      </w:r>
      <w:r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  <w:lang w:val="en-US"/>
        </w:rPr>
        <w:t>guarded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hotplate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IDT</w:t>
      </w:r>
      <w:r>
        <w:rPr>
          <w:color w:val="000000"/>
          <w:sz w:val="24"/>
          <w:szCs w:val="24"/>
        </w:rPr>
        <w:t>).</w:t>
      </w:r>
    </w:p>
    <w:p w14:paraId="27C057E2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Международный стандарт разработан техническим комитетом по </w:t>
      </w:r>
      <w:r>
        <w:rPr>
          <w:color w:val="000000"/>
          <w:sz w:val="24"/>
          <w:szCs w:val="24"/>
        </w:rPr>
        <w:lastRenderedPageBreak/>
        <w:t>стандартизации TC 38 «</w:t>
      </w:r>
      <w:r>
        <w:rPr>
          <w:iCs/>
          <w:color w:val="000000"/>
          <w:sz w:val="24"/>
          <w:szCs w:val="24"/>
        </w:rPr>
        <w:t>Текстиль»</w:t>
      </w:r>
      <w:r>
        <w:rPr>
          <w:color w:val="000000"/>
          <w:sz w:val="24"/>
          <w:szCs w:val="24"/>
        </w:rPr>
        <w:t xml:space="preserve"> Международной организации по стандартизации (ISO).</w:t>
      </w:r>
    </w:p>
    <w:p w14:paraId="18F8472E" w14:textId="77777777" w:rsidR="00953AD5" w:rsidRDefault="00000000">
      <w:pPr>
        <w:pStyle w:val="FORMATTEXT"/>
        <w:spacing w:line="360" w:lineRule="auto"/>
        <w:ind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Наименование настоящего стандарта изменено относительно наименования указанного европейского стандарта для приведения в соответствие с ГОСТ 1.5 (подраздел 3.6).</w:t>
      </w:r>
    </w:p>
    <w:p w14:paraId="07CF6D88" w14:textId="77777777" w:rsidR="00953AD5" w:rsidRDefault="00000000">
      <w:pPr>
        <w:pStyle w:val="FORMATTEXT"/>
        <w:spacing w:line="360" w:lineRule="auto"/>
        <w:ind w:firstLine="568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hyperlink r:id="rId13" w:history="1">
        <w:r>
          <w:rPr>
            <w:rStyle w:val="a7"/>
            <w:color w:val="000000"/>
            <w:sz w:val="24"/>
            <w:szCs w:val="24"/>
            <w:u w:val="none"/>
          </w:rPr>
          <w:t xml:space="preserve">приложении ДА </w:t>
        </w:r>
      </w:hyperlink>
    </w:p>
    <w:p w14:paraId="3BA9A843" w14:textId="77777777" w:rsidR="00953AD5" w:rsidRDefault="00953AD5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14:paraId="76A8F278" w14:textId="77777777" w:rsidR="00953AD5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5 ВВЕДЕН ВПЕРВЫЕ</w:t>
      </w:r>
    </w:p>
    <w:p w14:paraId="4A6AE785" w14:textId="77777777" w:rsidR="00953AD5" w:rsidRDefault="00953A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</w:rPr>
      </w:pPr>
    </w:p>
    <w:p w14:paraId="0240B1F6" w14:textId="77777777" w:rsidR="00953AD5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</w:rPr>
        <w:t>6 Некоторые элементы настоящего стандарта могут являться объектами патентных прав.</w:t>
      </w:r>
    </w:p>
    <w:p w14:paraId="06F7D947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i/>
          <w:color w:val="000000"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государствах.</w:t>
      </w:r>
    </w:p>
    <w:p w14:paraId="6D572108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i/>
          <w:color w:val="000000"/>
          <w:sz w:val="24"/>
          <w:szCs w:val="24"/>
        </w:rPr>
        <w:t>Информация об изменениях к настоящему стандарту публикуется в указателе (каталоге) «Межгосударственные стандарты», а текст этих изменений - в информационных указателях «Межгосударственные стандарты». В случае пересмотра или отмены настоящего стандарта соответствующая информация будет опубликована в информационном указателе «Межгосударственные стандарты».</w:t>
      </w:r>
    </w:p>
    <w:p w14:paraId="429B0F22" w14:textId="77777777" w:rsidR="00953AD5" w:rsidRDefault="00953AD5">
      <w:pPr>
        <w:pStyle w:val="FORMATTEXT"/>
        <w:ind w:firstLine="568"/>
        <w:jc w:val="both"/>
        <w:rPr>
          <w:color w:val="000000"/>
        </w:rPr>
      </w:pPr>
    </w:p>
    <w:p w14:paraId="51A050CF" w14:textId="77777777" w:rsidR="00953AD5" w:rsidRDefault="00953AD5">
      <w:pPr>
        <w:pStyle w:val="HEADERTEXT"/>
        <w:jc w:val="both"/>
        <w:rPr>
          <w:color w:val="000000"/>
        </w:rPr>
      </w:pPr>
    </w:p>
    <w:p w14:paraId="0E48FDA7" w14:textId="77777777" w:rsidR="00953AD5" w:rsidRDefault="00953AD5">
      <w:pPr>
        <w:pStyle w:val="HEADERTEXT"/>
        <w:jc w:val="both"/>
        <w:rPr>
          <w:color w:val="000000"/>
        </w:rPr>
      </w:pPr>
    </w:p>
    <w:p w14:paraId="2137AB17" w14:textId="77777777" w:rsidR="00953AD5" w:rsidRDefault="00953AD5">
      <w:pPr>
        <w:pStyle w:val="HEADERTEXT"/>
        <w:jc w:val="both"/>
        <w:rPr>
          <w:color w:val="000000"/>
        </w:rPr>
      </w:pPr>
    </w:p>
    <w:p w14:paraId="6FAB4667" w14:textId="77777777" w:rsidR="00953AD5" w:rsidRDefault="00953AD5">
      <w:pPr>
        <w:pStyle w:val="HEADERTEXT"/>
        <w:jc w:val="both"/>
        <w:rPr>
          <w:color w:val="000000"/>
        </w:rPr>
      </w:pPr>
    </w:p>
    <w:p w14:paraId="18B8CE56" w14:textId="77777777" w:rsidR="00953AD5" w:rsidRDefault="00953AD5">
      <w:pPr>
        <w:pStyle w:val="HEADERTEXT"/>
        <w:jc w:val="both"/>
        <w:rPr>
          <w:color w:val="000000"/>
        </w:rPr>
      </w:pPr>
    </w:p>
    <w:p w14:paraId="04D088E5" w14:textId="77777777" w:rsidR="00953AD5" w:rsidRDefault="00953AD5">
      <w:pPr>
        <w:pStyle w:val="HEADERTEXT"/>
        <w:jc w:val="right"/>
        <w:rPr>
          <w:color w:val="000000"/>
          <w:sz w:val="24"/>
          <w:szCs w:val="24"/>
        </w:rPr>
      </w:pPr>
    </w:p>
    <w:p w14:paraId="4F206FE3" w14:textId="77777777" w:rsidR="00953AD5" w:rsidRDefault="00953AD5">
      <w:pPr>
        <w:pStyle w:val="HEADERTEXT"/>
        <w:jc w:val="right"/>
        <w:rPr>
          <w:color w:val="000000"/>
          <w:sz w:val="24"/>
          <w:szCs w:val="24"/>
        </w:rPr>
      </w:pPr>
    </w:p>
    <w:p w14:paraId="2A71483C" w14:textId="77777777" w:rsidR="00953AD5" w:rsidRDefault="00953AD5">
      <w:pPr>
        <w:pStyle w:val="HEADERTEXT"/>
        <w:jc w:val="right"/>
        <w:rPr>
          <w:color w:val="000000"/>
          <w:sz w:val="24"/>
          <w:szCs w:val="24"/>
        </w:rPr>
      </w:pPr>
    </w:p>
    <w:p w14:paraId="56ECE76F" w14:textId="77777777" w:rsidR="00953AD5" w:rsidRDefault="00953AD5">
      <w:pPr>
        <w:pStyle w:val="HEADERTEXT"/>
        <w:jc w:val="right"/>
        <w:rPr>
          <w:color w:val="000000"/>
          <w:sz w:val="24"/>
          <w:szCs w:val="24"/>
        </w:rPr>
      </w:pPr>
    </w:p>
    <w:p w14:paraId="59776BA8" w14:textId="77777777" w:rsidR="00953AD5" w:rsidRDefault="00953AD5">
      <w:pPr>
        <w:pStyle w:val="HEADERTEXT"/>
        <w:jc w:val="right"/>
        <w:rPr>
          <w:color w:val="000000"/>
          <w:sz w:val="24"/>
          <w:szCs w:val="24"/>
        </w:rPr>
      </w:pPr>
    </w:p>
    <w:p w14:paraId="556A002B" w14:textId="77777777" w:rsidR="00953AD5" w:rsidRDefault="00953AD5">
      <w:pPr>
        <w:pStyle w:val="HEADERTEXT"/>
        <w:jc w:val="right"/>
        <w:rPr>
          <w:color w:val="000000"/>
          <w:sz w:val="24"/>
          <w:szCs w:val="24"/>
        </w:rPr>
      </w:pPr>
    </w:p>
    <w:p w14:paraId="5E95604A" w14:textId="77777777" w:rsidR="00953AD5" w:rsidRDefault="00000000">
      <w:pPr>
        <w:pStyle w:val="HEADERTEXT"/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© </w:t>
      </w:r>
      <w:r>
        <w:rPr>
          <w:color w:val="000000"/>
          <w:sz w:val="24"/>
          <w:szCs w:val="24"/>
          <w:lang w:val="en-US"/>
        </w:rPr>
        <w:t>ISO</w:t>
      </w:r>
      <w:r>
        <w:rPr>
          <w:color w:val="000000"/>
          <w:sz w:val="24"/>
          <w:szCs w:val="24"/>
        </w:rPr>
        <w:t xml:space="preserve">, 2012 – Все права сохраняются </w:t>
      </w:r>
    </w:p>
    <w:p w14:paraId="239BDB97" w14:textId="77777777" w:rsidR="00953AD5" w:rsidRDefault="00953AD5">
      <w:pPr>
        <w:pStyle w:val="HEADERTEXT"/>
        <w:jc w:val="both"/>
        <w:rPr>
          <w:color w:val="000000"/>
          <w:sz w:val="24"/>
          <w:szCs w:val="24"/>
        </w:rPr>
      </w:pPr>
    </w:p>
    <w:p w14:paraId="2D43E821" w14:textId="77777777" w:rsidR="00953AD5" w:rsidRDefault="00953AD5">
      <w:pPr>
        <w:pStyle w:val="HEADERTEXT"/>
        <w:jc w:val="right"/>
        <w:rPr>
          <w:color w:val="000000"/>
          <w:sz w:val="24"/>
          <w:szCs w:val="24"/>
        </w:rPr>
      </w:pPr>
    </w:p>
    <w:p w14:paraId="212CFD47" w14:textId="77777777" w:rsidR="00953AD5" w:rsidRDefault="00953AD5">
      <w:pPr>
        <w:pStyle w:val="HEADERTEXT"/>
        <w:jc w:val="both"/>
        <w:rPr>
          <w:color w:val="000000"/>
          <w:sz w:val="24"/>
          <w:szCs w:val="24"/>
        </w:rPr>
      </w:pPr>
    </w:p>
    <w:p w14:paraId="55FD449D" w14:textId="77777777" w:rsidR="00953AD5" w:rsidRDefault="00000000">
      <w:pPr>
        <w:ind w:firstLine="54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p w14:paraId="703E213C" w14:textId="77777777" w:rsidR="00953AD5" w:rsidRDefault="00953AD5">
      <w:pPr>
        <w:pStyle w:val="HEADERTEXT"/>
        <w:spacing w:line="600" w:lineRule="auto"/>
        <w:jc w:val="center"/>
        <w:rPr>
          <w:b/>
          <w:bCs/>
          <w:color w:val="000000"/>
          <w:sz w:val="24"/>
          <w:szCs w:val="24"/>
        </w:rPr>
      </w:pPr>
    </w:p>
    <w:p w14:paraId="1A8DF1B6" w14:textId="77777777" w:rsidR="00953AD5" w:rsidRDefault="00000000">
      <w:pPr>
        <w:pStyle w:val="HEADERTEXT"/>
        <w:spacing w:line="600" w:lineRule="auto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Содержание</w:t>
      </w:r>
    </w:p>
    <w:tbl>
      <w:tblPr>
        <w:tblW w:w="98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13"/>
        <w:gridCol w:w="674"/>
      </w:tblGrid>
      <w:tr w:rsidR="00953AD5" w14:paraId="7D5AB358" w14:textId="77777777">
        <w:tc>
          <w:tcPr>
            <w:tcW w:w="9213" w:type="dxa"/>
          </w:tcPr>
          <w:p w14:paraId="527E90C8" w14:textId="77777777" w:rsidR="00953AD5" w:rsidRDefault="00000000">
            <w:pPr>
              <w:pStyle w:val="HEADERTEXT"/>
              <w:snapToGri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Введение……………………………………………………………………………………...</w:t>
            </w:r>
          </w:p>
        </w:tc>
        <w:tc>
          <w:tcPr>
            <w:tcW w:w="674" w:type="dxa"/>
          </w:tcPr>
          <w:p w14:paraId="5C85354D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30F9BB00" w14:textId="77777777">
        <w:tc>
          <w:tcPr>
            <w:tcW w:w="9213" w:type="dxa"/>
          </w:tcPr>
          <w:p w14:paraId="1B9F3826" w14:textId="77777777" w:rsidR="00953AD5" w:rsidRDefault="00000000">
            <w:pPr>
              <w:pStyle w:val="HEADERTEXT"/>
              <w:snapToGri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Область применения……………………………………………………………………..</w:t>
            </w:r>
          </w:p>
        </w:tc>
        <w:tc>
          <w:tcPr>
            <w:tcW w:w="674" w:type="dxa"/>
          </w:tcPr>
          <w:p w14:paraId="4639C2FA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355FBE86" w14:textId="77777777">
        <w:tc>
          <w:tcPr>
            <w:tcW w:w="9213" w:type="dxa"/>
          </w:tcPr>
          <w:p w14:paraId="7787C218" w14:textId="77777777" w:rsidR="00953AD5" w:rsidRDefault="00000000">
            <w:pPr>
              <w:pStyle w:val="HEADERTEXT"/>
              <w:snapToGri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Нормативные ссылки……………………………………………………………………..</w:t>
            </w:r>
          </w:p>
        </w:tc>
        <w:tc>
          <w:tcPr>
            <w:tcW w:w="674" w:type="dxa"/>
          </w:tcPr>
          <w:p w14:paraId="2E2DFD6B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62BD4277" w14:textId="77777777">
        <w:tc>
          <w:tcPr>
            <w:tcW w:w="9213" w:type="dxa"/>
          </w:tcPr>
          <w:p w14:paraId="351CED8D" w14:textId="77777777" w:rsidR="00953AD5" w:rsidRDefault="00000000">
            <w:pPr>
              <w:pStyle w:val="HEADERTEXT"/>
              <w:snapToGri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 Термины и определения…………………………………………………………………</w:t>
            </w:r>
          </w:p>
        </w:tc>
        <w:tc>
          <w:tcPr>
            <w:tcW w:w="674" w:type="dxa"/>
          </w:tcPr>
          <w:p w14:paraId="31D21004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76FBB1D5" w14:textId="77777777">
        <w:tc>
          <w:tcPr>
            <w:tcW w:w="9213" w:type="dxa"/>
          </w:tcPr>
          <w:p w14:paraId="11ABC758" w14:textId="77777777" w:rsidR="00953AD5" w:rsidRDefault="00000000">
            <w:pPr>
              <w:pStyle w:val="HEADERTEXT"/>
              <w:snapToGri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 Обозначения и аббревиатуры…………………………………………………………</w:t>
            </w:r>
          </w:p>
        </w:tc>
        <w:tc>
          <w:tcPr>
            <w:tcW w:w="674" w:type="dxa"/>
          </w:tcPr>
          <w:p w14:paraId="060B34F8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070E48E0" w14:textId="77777777">
        <w:tc>
          <w:tcPr>
            <w:tcW w:w="9213" w:type="dxa"/>
          </w:tcPr>
          <w:p w14:paraId="30E22ADF" w14:textId="77777777" w:rsidR="00953AD5" w:rsidRDefault="00000000">
            <w:pPr>
              <w:pStyle w:val="HEADERTEXT"/>
              <w:snapToGri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 Оборудование…………………………………………………………………………….</w:t>
            </w:r>
          </w:p>
        </w:tc>
        <w:tc>
          <w:tcPr>
            <w:tcW w:w="674" w:type="dxa"/>
          </w:tcPr>
          <w:p w14:paraId="6F937577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2610C2DA" w14:textId="77777777">
        <w:tc>
          <w:tcPr>
            <w:tcW w:w="9213" w:type="dxa"/>
          </w:tcPr>
          <w:p w14:paraId="4A0E698E" w14:textId="77777777" w:rsidR="00953AD5" w:rsidRDefault="00000000">
            <w:pPr>
              <w:pStyle w:val="HEADERTEXT"/>
              <w:snapToGri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 Процедура испытания……………………………………………………………………</w:t>
            </w:r>
          </w:p>
        </w:tc>
        <w:tc>
          <w:tcPr>
            <w:tcW w:w="674" w:type="dxa"/>
          </w:tcPr>
          <w:p w14:paraId="25F43E8F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693F5304" w14:textId="77777777">
        <w:tc>
          <w:tcPr>
            <w:tcW w:w="9213" w:type="dxa"/>
          </w:tcPr>
          <w:p w14:paraId="6C0FE2EF" w14:textId="77777777" w:rsidR="00953AD5" w:rsidRDefault="00000000">
            <w:pPr>
              <w:pStyle w:val="HEADERTEXT"/>
              <w:snapToGri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 Протокол испытаний……………………………………………………………………..</w:t>
            </w:r>
          </w:p>
        </w:tc>
        <w:tc>
          <w:tcPr>
            <w:tcW w:w="674" w:type="dxa"/>
          </w:tcPr>
          <w:p w14:paraId="3881DE70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3E13FAA0" w14:textId="77777777">
        <w:tc>
          <w:tcPr>
            <w:tcW w:w="9213" w:type="dxa"/>
          </w:tcPr>
          <w:p w14:paraId="3D60A29C" w14:textId="77777777" w:rsidR="00953AD5" w:rsidRDefault="00000000">
            <w:pPr>
              <w:pStyle w:val="HEADERTEXT"/>
              <w:snapToGrid w:val="0"/>
              <w:spacing w:line="360" w:lineRule="auto"/>
              <w:ind w:left="2161" w:hanging="216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Приложение А (справочное) Пример результата испытания………………………..</w:t>
            </w:r>
          </w:p>
        </w:tc>
        <w:tc>
          <w:tcPr>
            <w:tcW w:w="674" w:type="dxa"/>
          </w:tcPr>
          <w:p w14:paraId="3F4B1290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6F6AE30D" w14:textId="77777777">
        <w:tc>
          <w:tcPr>
            <w:tcW w:w="9213" w:type="dxa"/>
          </w:tcPr>
          <w:p w14:paraId="1F829D93" w14:textId="77777777" w:rsidR="00953AD5" w:rsidRDefault="00000000">
            <w:pPr>
              <w:pStyle w:val="HEADERTEXT"/>
              <w:snapToGrid w:val="0"/>
              <w:spacing w:line="360" w:lineRule="auto"/>
              <w:ind w:left="2019" w:hanging="198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Приложение ДА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(справочное) Сведения о соответствии ссылочных международных стандартов ссылочным </w:t>
            </w:r>
            <w:r>
              <w:rPr>
                <w:bCs/>
                <w:color w:val="000000"/>
                <w:sz w:val="24"/>
                <w:szCs w:val="24"/>
              </w:rPr>
              <w:t>межгосударственным стандартам…………………………………………………………….</w:t>
            </w:r>
          </w:p>
        </w:tc>
        <w:tc>
          <w:tcPr>
            <w:tcW w:w="674" w:type="dxa"/>
          </w:tcPr>
          <w:p w14:paraId="70E3D4E2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53AD5" w14:paraId="419F02FD" w14:textId="77777777">
        <w:tc>
          <w:tcPr>
            <w:tcW w:w="9213" w:type="dxa"/>
          </w:tcPr>
          <w:p w14:paraId="72955AC9" w14:textId="77777777" w:rsidR="00953AD5" w:rsidRDefault="00000000">
            <w:pPr>
              <w:pStyle w:val="HEADERTEXT"/>
              <w:snapToGrid w:val="0"/>
              <w:spacing w:line="360" w:lineRule="auto"/>
              <w:ind w:left="2019" w:hanging="198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Библиография……………………………………………………………………………….</w:t>
            </w:r>
          </w:p>
        </w:tc>
        <w:tc>
          <w:tcPr>
            <w:tcW w:w="674" w:type="dxa"/>
          </w:tcPr>
          <w:p w14:paraId="66C8D4F7" w14:textId="77777777" w:rsidR="00953AD5" w:rsidRDefault="00953AD5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0C427609" w14:textId="77777777" w:rsidR="00953AD5" w:rsidRDefault="00953AD5">
      <w:pPr>
        <w:pStyle w:val="HEADERTEXT"/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14:paraId="6CB6EDBD" w14:textId="77777777" w:rsidR="00953AD5" w:rsidRDefault="00953AD5">
      <w:pPr>
        <w:pStyle w:val="HEADERTEXT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0CB6DE3" w14:textId="77777777" w:rsidR="00953AD5" w:rsidRDefault="00953AD5">
      <w:pPr>
        <w:pStyle w:val="HEADERTEXT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57436B9D" w14:textId="77777777" w:rsidR="00953AD5" w:rsidRDefault="00953AD5">
      <w:pPr>
        <w:pStyle w:val="HEADERTEXT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5084512F" w14:textId="77777777" w:rsidR="00953AD5" w:rsidRDefault="00953AD5">
      <w:pPr>
        <w:pStyle w:val="HEADERTEXT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7F2B482B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3A7CA07E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5A25D9D0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7921EACF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2539F6C5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3BBCA8E0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4FA773E3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6615B57D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69E05712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5E79457F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6D6C11EB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65F85D14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0417BA16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1D4A8E19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503A2016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60EDBF03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1BC5B9D2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0B767E11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5BCEFE4F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2EFEF604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0630BEB7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17111BFE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066BAAE1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6B8737C7" w14:textId="77777777" w:rsidR="00953AD5" w:rsidRDefault="00000000">
      <w:pPr>
        <w:pStyle w:val="HEADERTEXT"/>
        <w:tabs>
          <w:tab w:val="left" w:pos="4125"/>
          <w:tab w:val="center" w:pos="4818"/>
        </w:tabs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Введение</w:t>
      </w:r>
    </w:p>
    <w:p w14:paraId="3D73B66B" w14:textId="77777777" w:rsidR="00953AD5" w:rsidRDefault="00953AD5">
      <w:pPr>
        <w:pStyle w:val="HEADERTEXT"/>
        <w:tabs>
          <w:tab w:val="left" w:pos="4125"/>
          <w:tab w:val="center" w:pos="4818"/>
        </w:tabs>
        <w:rPr>
          <w:b/>
          <w:bCs/>
          <w:color w:val="000000"/>
          <w:sz w:val="24"/>
          <w:szCs w:val="24"/>
        </w:rPr>
      </w:pPr>
    </w:p>
    <w:p w14:paraId="1B29FAB8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Настоящий стандарт предназначен для испытаний текстильных материалов, обладающих свойствами влагорегулирования.</w:t>
      </w:r>
    </w:p>
    <w:p w14:paraId="34842223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Международные стандарты не дают подробного определения влагорегулирующих текстильных материалов и изделий. Здесь влагорегулирование </w:t>
      </w:r>
      <w:r>
        <w:rPr>
          <w:rFonts w:ascii="Arial" w:hAnsi="Arial" w:cs="Arial"/>
          <w:color w:val="5B9BD5" w:themeColor="accent1"/>
          <w:sz w:val="24"/>
          <w:szCs w:val="24"/>
        </w:rPr>
        <w:t xml:space="preserve">в </w:t>
      </w:r>
      <w:r>
        <w:rPr>
          <w:rFonts w:ascii="Arial" w:hAnsi="Arial" w:cs="Arial"/>
          <w:color w:val="000000" w:themeColor="text1"/>
          <w:sz w:val="24"/>
          <w:szCs w:val="24"/>
        </w:rPr>
        <w:t>основном относится к свойству, при котором поглощенный пот переносится внутри текстильного материала и по его по</w:t>
      </w:r>
      <w:r>
        <w:rPr>
          <w:rFonts w:ascii="Arial" w:hAnsi="Arial" w:cs="Arial"/>
          <w:color w:val="000000"/>
          <w:sz w:val="24"/>
          <w:szCs w:val="24"/>
        </w:rPr>
        <w:t>верхности и высыхает с поверхности текстильного материала.</w:t>
      </w:r>
    </w:p>
    <w:p w14:paraId="4C1E6285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Высыхание, происходящее в текстильных материалах и изделиях, предназначенных для своевременного высыхания впитавшегося пота с использованием явления капиллярной трубки, протекает в условиях, отличных от сушки, которая обычно практикуется после стирки. Это связано с тем, что текстильные материалы и изделия, предназначенные для влагорегулирования, обладают свойством высушивать впитавшийся пот, в то время как пары пота постоянно выходят из человеческого тела. Также высыхание текстильного материала или изделия происходит за счет испарения только в направлении, противоположном той стороне, где пот, нагретый температурой человеческого тела, контактирует с кожей. Чтобы различать данные два типа сушки, состояние, в котором текстильные материалы и изделия сушат после стирки, определяют как «стационарный режим», тогда как высыхание в «динамическом режиме» — это термин, используемый для свойств высыхания текстильного материала со свойствами влагорегулирования.</w:t>
      </w:r>
    </w:p>
    <w:p w14:paraId="44B65EEF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Для оценки условий высыхания текстильных материалов и изделий в динамическом режиме было модифицировано и использовано оборудование с греющей пластиной с имитацией потоотделения и горячей охранной зоной (SGHP), указанное в ISO 11092. Дистиллированную воду используют, чтобы избежать ошибок оценки, которые могут возникнуть при нанесении искусственного пота на SGHP.</w:t>
      </w:r>
    </w:p>
    <w:p w14:paraId="2364CFC4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Настоящий стандарт не оценивает физиологические свойства </w:t>
      </w:r>
      <w:r>
        <w:rPr>
          <w:rFonts w:ascii="Arial" w:hAnsi="Arial" w:cs="Arial"/>
          <w:color w:val="000000" w:themeColor="text1"/>
          <w:sz w:val="24"/>
          <w:szCs w:val="24"/>
        </w:rPr>
        <w:t>в зависимости</w:t>
      </w:r>
      <w:r>
        <w:rPr>
          <w:rFonts w:ascii="Arial" w:hAnsi="Arial" w:cs="Arial"/>
          <w:color w:val="5B9BD5" w:themeColor="accen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текстильных материалов. Однако он может предоставить информацию, которая может быть использована для сравнения текстильных материалов путем оценки их свойств высыхания в ограниченных условиях окружающей среды.</w:t>
      </w:r>
    </w:p>
    <w:p w14:paraId="6D835CFB" w14:textId="77777777" w:rsidR="00953AD5" w:rsidRDefault="00953A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392EDA9" w14:textId="77777777" w:rsidR="00953AD5" w:rsidRDefault="00953A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6B45C91" w14:textId="77777777" w:rsidR="00953AD5" w:rsidRDefault="00953AD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04FD6EF" w14:textId="77777777" w:rsidR="00953AD5" w:rsidRDefault="00953AD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1F54167" w14:textId="77777777" w:rsidR="00953AD5" w:rsidRDefault="00953AD5">
      <w:pPr>
        <w:rPr>
          <w:color w:val="000000"/>
        </w:rPr>
        <w:sectPr w:rsidR="00953AD5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993" w:right="851" w:bottom="1134" w:left="1418" w:header="278" w:footer="278" w:gutter="0"/>
          <w:pgNumType w:fmt="upperRoman"/>
          <w:cols w:space="720"/>
          <w:titlePg/>
          <w:docGrid w:linePitch="312" w:charSpace="-2458"/>
        </w:sectPr>
      </w:pPr>
    </w:p>
    <w:p w14:paraId="28DAD733" w14:textId="77777777" w:rsidR="00953AD5" w:rsidRDefault="0000000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160"/>
          <w:sz w:val="24"/>
          <w:szCs w:val="24"/>
        </w:rPr>
        <w:lastRenderedPageBreak/>
        <w:t>МЕЖГОСУДАРСТВЕННЫЙ СТАНДАРТ</w:t>
      </w:r>
    </w:p>
    <w:p w14:paraId="6E7E7DA4" w14:textId="77777777" w:rsidR="00953AD5" w:rsidRDefault="00000000">
      <w:pPr>
        <w:spacing w:after="120" w:line="24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>МАТЕРИАЛЫ И ИЗДЕЛИЯ ТЕКСТИЛЬНЫЕ</w:t>
      </w:r>
    </w:p>
    <w:p w14:paraId="05A6ECAD" w14:textId="77777777" w:rsidR="00953AD5" w:rsidRDefault="00000000">
      <w:pPr>
        <w:pStyle w:val="af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Метод определения скорости высыхания в динамическом режиме (метод испытаний с использованием модифицированной греющей пластины с имитацией потоотделения и горячей охранной зоной)</w:t>
      </w:r>
    </w:p>
    <w:p w14:paraId="6FD25221" w14:textId="77777777" w:rsidR="00953AD5" w:rsidRDefault="00953AD5">
      <w:pPr>
        <w:pStyle w:val="af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2A5BF69" w14:textId="77777777" w:rsidR="00953AD5" w:rsidRDefault="00000000">
      <w:pPr>
        <w:tabs>
          <w:tab w:val="left" w:pos="5844"/>
          <w:tab w:val="left" w:pos="6329"/>
          <w:tab w:val="right" w:pos="9921"/>
        </w:tabs>
        <w:jc w:val="center"/>
        <w:rPr>
          <w:rFonts w:ascii="Arial" w:hAnsi="Arial" w:cs="Arial"/>
          <w:color w:val="000000"/>
          <w:sz w:val="24"/>
          <w:szCs w:val="24"/>
          <w:lang w:val="en-US" w:eastAsia="ar-SA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B94CD" wp14:editId="04287A0E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628650</wp:posOffset>
                </wp:positionV>
                <wp:extent cx="6251575" cy="18415"/>
                <wp:effectExtent l="14605" t="13335" r="10795" b="63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flip:y;margin-left:-9pt;margin-top:49.5pt;height:1.45pt;width:492.25pt;z-index:251659264;mso-width-relative:page;mso-height-relative:page;" filled="f" stroked="t" coordsize="21600,21600" o:gfxdata="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56AYNgAAAAKAQAADwAA&#10;AAAAAAABACAAAAAiAAAAZHJzL2Rvd25yZXYueG1sUEsBAhQAFAAAAAgAh07iQEO6AqLdAQAAyQMA&#10;AA4AAAAAAAAAAQAgAAAAJwEAAGRycy9lMm9Eb2MueG1sUEsFBgAAAAAGAAYAWQEAAHYFAAAAAA==&#10;">
                <v:fill on="f" focussize="0,0"/>
                <v:stroke weight="0.992125984251969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  <w:lang w:val="en-US" w:eastAsia="ru-RU"/>
        </w:rPr>
        <w:t>Textile materials and products.</w:t>
      </w:r>
      <w:r>
        <w:rPr>
          <w:rFonts w:ascii="Arial" w:hAnsi="Arial" w:cs="Arial"/>
          <w:color w:val="000000"/>
          <w:sz w:val="24"/>
          <w:szCs w:val="24"/>
          <w:lang w:val="en-US" w:eastAsia="ar-SA"/>
        </w:rPr>
        <w:t xml:space="preserve"> Method for determination of drying rate in dynamic state (test method using a modified simulated perspiration heating plate and a hot guard zone)</w:t>
      </w:r>
    </w:p>
    <w:p w14:paraId="5BAD100F" w14:textId="77777777" w:rsidR="00953AD5" w:rsidRDefault="00953AD5">
      <w:pPr>
        <w:tabs>
          <w:tab w:val="left" w:pos="5844"/>
          <w:tab w:val="left" w:pos="6329"/>
          <w:tab w:val="right" w:pos="9921"/>
        </w:tabs>
        <w:jc w:val="center"/>
        <w:rPr>
          <w:rFonts w:ascii="Arial" w:hAnsi="Arial" w:cs="Arial"/>
          <w:color w:val="000000"/>
          <w:sz w:val="24"/>
          <w:szCs w:val="24"/>
          <w:lang w:val="en-US" w:eastAsia="ar-SA"/>
        </w:rPr>
      </w:pPr>
    </w:p>
    <w:p w14:paraId="194E0577" w14:textId="77777777" w:rsidR="00953AD5" w:rsidRDefault="00000000">
      <w:pPr>
        <w:tabs>
          <w:tab w:val="left" w:pos="5844"/>
          <w:tab w:val="left" w:pos="6329"/>
          <w:tab w:val="right" w:pos="9921"/>
        </w:tabs>
        <w:rPr>
          <w:color w:val="000000"/>
        </w:rPr>
      </w:pPr>
      <w:r>
        <w:rPr>
          <w:color w:val="000000"/>
          <w:lang w:val="en-US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 xml:space="preserve">Дата введения </w:t>
      </w:r>
    </w:p>
    <w:p w14:paraId="61345CED" w14:textId="77777777" w:rsidR="00953AD5" w:rsidRDefault="00000000">
      <w:pPr>
        <w:pStyle w:val="HEADERTEXT"/>
        <w:spacing w:line="360" w:lineRule="auto"/>
        <w:ind w:firstLine="72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1 Область применения</w:t>
      </w:r>
    </w:p>
    <w:p w14:paraId="30DDE0DE" w14:textId="77777777" w:rsidR="00953AD5" w:rsidRDefault="00000000">
      <w:pPr>
        <w:pStyle w:val="FORMATTEXT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Настоящий стандарт устанавливает метод измерения скорости высыхания текстильных материалов в виде полотен плоской конфигурации (далее – текстильные материалы), предназначенных для изготовления одежды для спорта, отдыха или нательного белья, которые контактируют с кожей при обычном использовании, и других подобных текстильных материалов. </w:t>
      </w:r>
    </w:p>
    <w:p w14:paraId="4B086649" w14:textId="77777777" w:rsidR="00953AD5" w:rsidRDefault="00000000">
      <w:pPr>
        <w:pStyle w:val="FORMATTEXT"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Метод неприменим к текстильным материалам, не проницаемым для водяного пара, а также к текстильным материалам толщиной более 5 мм.</w:t>
      </w:r>
    </w:p>
    <w:p w14:paraId="1C48DCDB" w14:textId="77777777" w:rsidR="00953AD5" w:rsidRDefault="00953AD5">
      <w:pPr>
        <w:pStyle w:val="FORMATTEXT"/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14:paraId="324D8B56" w14:textId="77777777" w:rsidR="00953AD5" w:rsidRDefault="00000000">
      <w:pPr>
        <w:pStyle w:val="HEADERTEXT"/>
        <w:spacing w:line="360" w:lineRule="auto"/>
        <w:ind w:firstLine="709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2 Нормативные ссылки</w:t>
      </w:r>
    </w:p>
    <w:p w14:paraId="63E72A8C" w14:textId="77777777" w:rsidR="00953AD5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36582190" w14:textId="77777777" w:rsidR="00953AD5" w:rsidRDefault="0000000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ISО 11092, Textiles — Physiological effects — Measurement of thermal and water-vapour resistance under steady-state conditions (sweating guarded-hotplate test) (</w:t>
      </w:r>
      <w:r>
        <w:rPr>
          <w:rFonts w:ascii="Arial" w:hAnsi="Arial" w:cs="Arial"/>
          <w:sz w:val="24"/>
          <w:szCs w:val="24"/>
        </w:rPr>
        <w:t>Материалы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изделия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текстильные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>Физиологическое воздействие. Определение теплового сопротивления и сопротивления проникновению пара в стационарных условиях (метод испытания с использованием потеющей защищенной термопластины))</w:t>
      </w:r>
    </w:p>
    <w:p w14:paraId="6E0C6FF2" w14:textId="77777777" w:rsidR="00953AD5" w:rsidRDefault="00953AD5">
      <w:pPr>
        <w:pStyle w:val="FORMATTEXT"/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14:paraId="6E2F808F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3 Термины и определения</w:t>
      </w:r>
    </w:p>
    <w:p w14:paraId="2F63F2A6" w14:textId="77777777" w:rsidR="00953AD5" w:rsidRDefault="00000000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  <w:sectPr w:rsidR="00953AD5">
          <w:headerReference w:type="even" r:id="rId18"/>
          <w:headerReference w:type="first" r:id="rId19"/>
          <w:footerReference w:type="first" r:id="rId20"/>
          <w:type w:val="continuous"/>
          <w:pgSz w:w="11906" w:h="16838"/>
          <w:pgMar w:top="993" w:right="851" w:bottom="1134" w:left="1418" w:header="278" w:footer="278" w:gutter="0"/>
          <w:pgNumType w:start="1"/>
          <w:cols w:space="720"/>
          <w:titlePg/>
          <w:docGrid w:linePitch="312" w:charSpace="-2458"/>
        </w:sectPr>
      </w:pPr>
      <w:r>
        <w:rPr>
          <w:color w:val="000000"/>
          <w:sz w:val="24"/>
          <w:szCs w:val="24"/>
        </w:rPr>
        <w:t>Для целей настоящего стандарта применены термины по ISO 11092, а также следующие термины с соответствующими определениями.</w:t>
      </w:r>
    </w:p>
    <w:p w14:paraId="28609828" w14:textId="77777777" w:rsidR="00953AD5" w:rsidRDefault="00000000">
      <w:pPr>
        <w:pStyle w:val="1OsnAbz"/>
        <w:spacing w:before="0" w:after="0" w:line="360" w:lineRule="auto"/>
        <w:ind w:firstLine="720"/>
      </w:pPr>
      <w:r>
        <w:rPr>
          <w:sz w:val="24"/>
          <w:szCs w:val="24"/>
        </w:rPr>
        <w:lastRenderedPageBreak/>
        <w:t>3.1</w:t>
      </w:r>
      <w:r>
        <w:rPr>
          <w:b/>
          <w:sz w:val="24"/>
          <w:szCs w:val="24"/>
        </w:rPr>
        <w:t xml:space="preserve"> влагорегулирование </w:t>
      </w:r>
      <w:r>
        <w:rPr>
          <w:sz w:val="24"/>
          <w:szCs w:val="24"/>
        </w:rPr>
        <w:t>(</w:t>
      </w:r>
      <w:r>
        <w:rPr>
          <w:bCs/>
          <w:sz w:val="24"/>
          <w:szCs w:val="24"/>
        </w:rPr>
        <w:t>moisture management)</w:t>
      </w:r>
      <w:r>
        <w:rPr>
          <w:sz w:val="24"/>
          <w:szCs w:val="24"/>
        </w:rPr>
        <w:t>:</w:t>
      </w:r>
      <w:r>
        <w:rPr>
          <w:i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Свойство, предусмотренное в некоторых текстильных материалах для контроля или увеличения скорости впитывания и испарения пота с кожи пользователя.</w:t>
      </w:r>
    </w:p>
    <w:p w14:paraId="1CBA05CF" w14:textId="77777777" w:rsidR="00953AD5" w:rsidRDefault="00000000">
      <w:pPr>
        <w:pStyle w:val="1OsnAbz"/>
        <w:spacing w:before="0" w:after="0" w:line="360" w:lineRule="auto"/>
        <w:ind w:firstLine="720"/>
      </w:pPr>
      <w:r>
        <w:rPr>
          <w:sz w:val="22"/>
          <w:szCs w:val="22"/>
        </w:rPr>
        <w:t>П р и м е ч а н и я</w:t>
      </w:r>
    </w:p>
    <w:p w14:paraId="277D906C" w14:textId="77777777" w:rsidR="00953AD5" w:rsidRDefault="00000000">
      <w:pPr>
        <w:pStyle w:val="1OsnAbz"/>
        <w:spacing w:before="0" w:after="0" w:line="360" w:lineRule="auto"/>
        <w:ind w:firstLine="720"/>
        <w:rPr>
          <w:color w:val="000000" w:themeColor="text1"/>
        </w:rPr>
      </w:pPr>
      <w:r>
        <w:rPr>
          <w:sz w:val="22"/>
          <w:szCs w:val="22"/>
        </w:rPr>
        <w:t xml:space="preserve">1 </w:t>
      </w:r>
      <w:r>
        <w:rPr>
          <w:color w:val="000000" w:themeColor="text1"/>
          <w:sz w:val="22"/>
          <w:szCs w:val="22"/>
        </w:rPr>
        <w:t>Свойства влагорегулирования могут заключаться в различной скорости распределения влаги по поверхностям материала, в зависимости от того, предназначена ли поверхность для контакта с кожей или для контакта с воздухом.</w:t>
      </w:r>
    </w:p>
    <w:p w14:paraId="171A37E2" w14:textId="77777777" w:rsidR="00953AD5" w:rsidRDefault="00000000">
      <w:pPr>
        <w:pStyle w:val="1OsnAbz"/>
        <w:spacing w:before="0" w:after="0" w:line="360" w:lineRule="auto"/>
        <w:ind w:firstLine="720"/>
      </w:pPr>
      <w:r>
        <w:rPr>
          <w:sz w:val="22"/>
          <w:szCs w:val="22"/>
        </w:rPr>
        <w:t>2 См. метод 195 AATCC для измерения динамических свойств, кроме высыхания.</w:t>
      </w:r>
    </w:p>
    <w:p w14:paraId="63DE98DD" w14:textId="77777777" w:rsidR="00953AD5" w:rsidRDefault="00000000">
      <w:pPr>
        <w:pStyle w:val="1OsnAbz"/>
        <w:spacing w:before="0" w:after="0" w:line="360" w:lineRule="auto"/>
        <w:ind w:firstLine="720"/>
      </w:pPr>
      <w:r>
        <w:rPr>
          <w:sz w:val="24"/>
          <w:szCs w:val="24"/>
        </w:rPr>
        <w:t>3.2</w:t>
      </w:r>
      <w:r>
        <w:rPr>
          <w:b/>
          <w:sz w:val="24"/>
          <w:szCs w:val="24"/>
        </w:rPr>
        <w:t xml:space="preserve"> скорость высыхания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eastAsia="Times New Roman"/>
          <w:bCs/>
          <w:sz w:val="24"/>
          <w:szCs w:val="24"/>
        </w:rPr>
        <w:t>drying rate):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Время в секундах, в течение которого испытуемая проба, насыщенная 5 мл дистиллированной воды, достигает исходного стационарн</w:t>
      </w:r>
      <w:r>
        <w:rPr>
          <w:color w:val="000000" w:themeColor="text1"/>
          <w:sz w:val="24"/>
          <w:szCs w:val="24"/>
        </w:rPr>
        <w:t>ого состояния во</w:t>
      </w:r>
      <w:r>
        <w:rPr>
          <w:sz w:val="24"/>
          <w:szCs w:val="24"/>
        </w:rPr>
        <w:t>дяного пара в изотермических условиях испытания.</w:t>
      </w:r>
    </w:p>
    <w:p w14:paraId="6D9B463A" w14:textId="77777777" w:rsidR="00953AD5" w:rsidRDefault="00000000">
      <w:pPr>
        <w:pStyle w:val="1OsnAbz"/>
        <w:spacing w:before="0" w:after="0" w:line="360" w:lineRule="auto"/>
        <w:ind w:firstLine="720"/>
      </w:pPr>
      <w:r>
        <w:rPr>
          <w:sz w:val="24"/>
          <w:szCs w:val="24"/>
        </w:rPr>
        <w:t>3.3</w:t>
      </w:r>
      <w:r>
        <w:rPr>
          <w:b/>
          <w:sz w:val="22"/>
          <w:szCs w:val="22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динамический режим</w:t>
      </w:r>
      <w:r>
        <w:rPr>
          <w:rFonts w:eastAsia="Times New Roman"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eastAsia="Times New Roman"/>
          <w:bCs/>
          <w:sz w:val="24"/>
          <w:szCs w:val="24"/>
          <w:lang w:val="en-US"/>
        </w:rPr>
        <w:t>dynamic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  <w:lang w:val="en-US"/>
        </w:rPr>
        <w:t>state</w:t>
      </w:r>
      <w:r>
        <w:rPr>
          <w:rFonts w:eastAsia="Times New Roman"/>
          <w:bCs/>
          <w:sz w:val="24"/>
          <w:szCs w:val="24"/>
        </w:rPr>
        <w:t>): Условие высыхания относительно непрерывного применения заданной степени тепла и влажности.</w:t>
      </w:r>
    </w:p>
    <w:p w14:paraId="78E20724" w14:textId="77777777" w:rsidR="00953AD5" w:rsidRDefault="00000000">
      <w:pPr>
        <w:pStyle w:val="1OsnAbz"/>
        <w:spacing w:before="0" w:after="0" w:line="360" w:lineRule="auto"/>
        <w:ind w:firstLine="720"/>
      </w:pPr>
      <w:r>
        <w:rPr>
          <w:sz w:val="24"/>
          <w:szCs w:val="24"/>
        </w:rPr>
        <w:t>3.4</w:t>
      </w:r>
      <w:r>
        <w:rPr>
          <w:b/>
          <w:sz w:val="24"/>
          <w:szCs w:val="24"/>
        </w:rPr>
        <w:t xml:space="preserve"> сопротивление проникновению пара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R</w:t>
      </w:r>
      <w:r>
        <w:rPr>
          <w:i/>
          <w:sz w:val="24"/>
          <w:szCs w:val="24"/>
          <w:vertAlign w:val="subscript"/>
          <w:lang w:val="en-US"/>
        </w:rPr>
        <w:t>et</w:t>
      </w:r>
      <w:r>
        <w:rPr>
          <w:i/>
          <w:sz w:val="24"/>
          <w:szCs w:val="24"/>
          <w:vertAlign w:val="subscript"/>
        </w:rPr>
        <w:t xml:space="preserve"> </w:t>
      </w:r>
      <w:r>
        <w:rPr>
          <w:bCs/>
          <w:sz w:val="24"/>
          <w:szCs w:val="24"/>
        </w:rPr>
        <w:t>(</w:t>
      </w:r>
      <w:r>
        <w:rPr>
          <w:bCs/>
          <w:sz w:val="24"/>
          <w:szCs w:val="24"/>
          <w:lang w:val="en-US"/>
        </w:rPr>
        <w:t>water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vapour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resistance</w:t>
      </w:r>
      <w:r>
        <w:rPr>
          <w:bCs/>
          <w:sz w:val="24"/>
          <w:szCs w:val="24"/>
        </w:rPr>
        <w:t xml:space="preserve">): </w:t>
      </w:r>
      <w:r>
        <w:rPr>
          <w:sz w:val="24"/>
          <w:szCs w:val="24"/>
        </w:rPr>
        <w:t>Разница давления водяного пара между двумя сторонами материала, деленная на суммарный тепловой поток испарений на единицу площади в направлении градиента.</w:t>
      </w:r>
    </w:p>
    <w:p w14:paraId="1238FBD3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 р и м е ч а н и я:</w:t>
      </w:r>
    </w:p>
    <w:p w14:paraId="2F2177FD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1 Тепловой поток испарений может состоять из диффузионного и конвективного компонентов.</w:t>
      </w:r>
    </w:p>
    <w:p w14:paraId="3204F070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bCs/>
          <w:color w:val="000000"/>
        </w:rPr>
        <w:t xml:space="preserve">2 Сопротивление проникновению пара </w:t>
      </w:r>
      <w:r>
        <w:rPr>
          <w:rFonts w:ascii="Arial" w:hAnsi="Arial" w:cs="Arial"/>
          <w:bCs/>
          <w:i/>
          <w:color w:val="000000"/>
          <w:lang w:val="en-US"/>
        </w:rPr>
        <w:t>R</w:t>
      </w:r>
      <w:r>
        <w:rPr>
          <w:rFonts w:ascii="Arial" w:hAnsi="Arial" w:cs="Arial"/>
          <w:bCs/>
          <w:i/>
          <w:color w:val="000000"/>
          <w:vertAlign w:val="subscript"/>
          <w:lang w:val="en-US"/>
        </w:rPr>
        <w:t>et</w:t>
      </w:r>
      <w:r>
        <w:rPr>
          <w:rFonts w:ascii="Arial" w:hAnsi="Arial" w:cs="Arial"/>
          <w:bCs/>
          <w:color w:val="000000"/>
        </w:rPr>
        <w:t>, выраженное в квадратных метрах паскаль на ватт, представляет собой количественную характеристику текстильных материалов или пакетов материалов, которая определяет «скрытый» тепловой поток испарений, проходящий через заданную площадь при постоянном градиенте давления водяного пара.</w:t>
      </w:r>
    </w:p>
    <w:p w14:paraId="0288D621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3 Сопротивление проникновению пара </w:t>
      </w:r>
      <w:r>
        <w:rPr>
          <w:rFonts w:ascii="Arial" w:hAnsi="Arial" w:cs="Arial"/>
          <w:bCs/>
          <w:i/>
          <w:color w:val="000000"/>
          <w:lang w:val="en-US"/>
        </w:rPr>
        <w:t>R</w:t>
      </w:r>
      <w:r>
        <w:rPr>
          <w:rFonts w:ascii="Arial" w:hAnsi="Arial" w:cs="Arial"/>
          <w:bCs/>
          <w:i/>
          <w:color w:val="000000"/>
          <w:vertAlign w:val="subscript"/>
          <w:lang w:val="en-US"/>
        </w:rPr>
        <w:t>et</w:t>
      </w:r>
      <w:r>
        <w:rPr>
          <w:rFonts w:ascii="Arial" w:hAnsi="Arial" w:cs="Arial"/>
          <w:bCs/>
          <w:color w:val="000000"/>
        </w:rPr>
        <w:t xml:space="preserve"> измеряют в соответствии с ISO 11092.</w:t>
      </w:r>
    </w:p>
    <w:p w14:paraId="568B5082" w14:textId="77777777" w:rsidR="00953AD5" w:rsidRDefault="00953AD5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Cs/>
          <w:color w:val="000000"/>
        </w:rPr>
      </w:pPr>
    </w:p>
    <w:p w14:paraId="399C5EA0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4 Обозначения и аббревиатуры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9093"/>
      </w:tblGrid>
      <w:tr w:rsidR="00953AD5" w14:paraId="610187ED" w14:textId="77777777">
        <w:tc>
          <w:tcPr>
            <w:tcW w:w="760" w:type="dxa"/>
          </w:tcPr>
          <w:p w14:paraId="3EE6F0F9" w14:textId="77777777" w:rsidR="00953AD5" w:rsidRDefault="00000000">
            <w:pPr>
              <w:widowControl w:val="0"/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en-US"/>
              </w:rPr>
              <w:t>T</w:t>
            </w:r>
            <w:r>
              <w:rPr>
                <w:rFonts w:ascii="Arial" w:hAnsi="Arial" w:cs="Arial"/>
                <w:bCs/>
                <w:i/>
                <w:color w:val="000000"/>
                <w:vertAlign w:val="subscript"/>
                <w:lang w:val="en-US"/>
              </w:rPr>
              <w:t>a</w:t>
            </w:r>
          </w:p>
        </w:tc>
        <w:tc>
          <w:tcPr>
            <w:tcW w:w="9093" w:type="dxa"/>
          </w:tcPr>
          <w:p w14:paraId="3CB759EC" w14:textId="77777777" w:rsidR="00953AD5" w:rsidRDefault="00000000">
            <w:pPr>
              <w:widowControl w:val="0"/>
              <w:tabs>
                <w:tab w:val="left" w:pos="500"/>
              </w:tabs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температура воздуха в испытательной камере, 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C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953AD5" w14:paraId="65B565E6" w14:textId="77777777">
        <w:tc>
          <w:tcPr>
            <w:tcW w:w="760" w:type="dxa"/>
          </w:tcPr>
          <w:p w14:paraId="12C87D18" w14:textId="77777777" w:rsidR="00953AD5" w:rsidRDefault="00000000">
            <w:pPr>
              <w:widowControl w:val="0"/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en-US"/>
              </w:rPr>
              <w:t>T</w:t>
            </w:r>
            <w:r>
              <w:rPr>
                <w:rFonts w:ascii="Arial" w:hAnsi="Arial" w:cs="Arial"/>
                <w:bCs/>
                <w:i/>
                <w:color w:val="000000"/>
                <w:vertAlign w:val="subscript"/>
                <w:lang w:val="en-US"/>
              </w:rPr>
              <w:t>m</w:t>
            </w:r>
          </w:p>
        </w:tc>
        <w:tc>
          <w:tcPr>
            <w:tcW w:w="9093" w:type="dxa"/>
          </w:tcPr>
          <w:p w14:paraId="3073CE12" w14:textId="77777777" w:rsidR="00953AD5" w:rsidRDefault="00000000">
            <w:pPr>
              <w:widowControl w:val="0"/>
              <w:tabs>
                <w:tab w:val="left" w:pos="500"/>
              </w:tabs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температура измерительного блока, °С;</w:t>
            </w:r>
          </w:p>
        </w:tc>
      </w:tr>
      <w:tr w:rsidR="00953AD5" w14:paraId="4489A906" w14:textId="77777777">
        <w:tc>
          <w:tcPr>
            <w:tcW w:w="760" w:type="dxa"/>
          </w:tcPr>
          <w:p w14:paraId="7B130ED4" w14:textId="77777777" w:rsidR="00953AD5" w:rsidRDefault="00000000">
            <w:pPr>
              <w:widowControl w:val="0"/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en-US"/>
              </w:rPr>
              <w:t>T</w:t>
            </w:r>
            <w:r>
              <w:rPr>
                <w:rFonts w:ascii="Arial" w:hAnsi="Arial" w:cs="Arial"/>
                <w:bCs/>
                <w:i/>
                <w:color w:val="000000"/>
                <w:vertAlign w:val="subscript"/>
                <w:lang w:val="en-US"/>
              </w:rPr>
              <w:t>s</w:t>
            </w:r>
          </w:p>
        </w:tc>
        <w:tc>
          <w:tcPr>
            <w:tcW w:w="9093" w:type="dxa"/>
          </w:tcPr>
          <w:p w14:paraId="252CD8E6" w14:textId="77777777" w:rsidR="00953AD5" w:rsidRDefault="00000000">
            <w:pPr>
              <w:widowControl w:val="0"/>
              <w:tabs>
                <w:tab w:val="left" w:pos="500"/>
              </w:tabs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температура горячей охранной зоны, °С;</w:t>
            </w:r>
          </w:p>
        </w:tc>
      </w:tr>
      <w:tr w:rsidR="00953AD5" w14:paraId="7BACBB0D" w14:textId="77777777">
        <w:tc>
          <w:tcPr>
            <w:tcW w:w="760" w:type="dxa"/>
          </w:tcPr>
          <w:p w14:paraId="7026313B" w14:textId="77777777" w:rsidR="00953AD5" w:rsidRDefault="00000000">
            <w:pPr>
              <w:widowControl w:val="0"/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RH</w:t>
            </w:r>
          </w:p>
        </w:tc>
        <w:tc>
          <w:tcPr>
            <w:tcW w:w="9093" w:type="dxa"/>
          </w:tcPr>
          <w:p w14:paraId="043B8D6A" w14:textId="77777777" w:rsidR="00953AD5" w:rsidRDefault="00000000">
            <w:pPr>
              <w:widowControl w:val="0"/>
              <w:tabs>
                <w:tab w:val="left" w:pos="500"/>
              </w:tabs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относительная влажность в испытательной камере, %;</w:t>
            </w:r>
          </w:p>
        </w:tc>
      </w:tr>
      <w:tr w:rsidR="00953AD5" w14:paraId="3EAAD096" w14:textId="77777777">
        <w:trPr>
          <w:trHeight w:val="425"/>
        </w:trPr>
        <w:tc>
          <w:tcPr>
            <w:tcW w:w="760" w:type="dxa"/>
          </w:tcPr>
          <w:p w14:paraId="2C90CD9F" w14:textId="77777777" w:rsidR="00953AD5" w:rsidRDefault="00000000">
            <w:pPr>
              <w:widowControl w:val="0"/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en-US"/>
              </w:rPr>
              <w:t>H</w:t>
            </w:r>
          </w:p>
        </w:tc>
        <w:tc>
          <w:tcPr>
            <w:tcW w:w="9093" w:type="dxa"/>
          </w:tcPr>
          <w:p w14:paraId="4A2D15D1" w14:textId="77777777" w:rsidR="00953AD5" w:rsidRDefault="00000000">
            <w:pPr>
              <w:widowControl w:val="0"/>
              <w:tabs>
                <w:tab w:val="left" w:pos="500"/>
              </w:tabs>
              <w:autoSpaceDE w:val="0"/>
              <w:spacing w:after="0" w:line="360" w:lineRule="auto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мощность нагрева, подаваемая на измерительный блок, Вт;</w:t>
            </w:r>
          </w:p>
        </w:tc>
      </w:tr>
    </w:tbl>
    <w:p w14:paraId="3A10E648" w14:textId="77777777" w:rsidR="00953AD5" w:rsidRDefault="00953AD5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55F1F30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5 Оборудование</w:t>
      </w:r>
    </w:p>
    <w:p w14:paraId="1D3C55C6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5.1 Общие положения</w:t>
      </w:r>
    </w:p>
    <w:p w14:paraId="2EB33E89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В качестве испытательного устройства используют греющую пластину с имитацией потоотделения и горячей охранной зоной, указанную в ISO 11092, с устройством подведения воды.</w:t>
      </w:r>
    </w:p>
    <w:p w14:paraId="2D72CAB0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5.2 Измерительный блок с устройством подведения воды</w:t>
      </w:r>
    </w:p>
    <w:p w14:paraId="27D68F44" w14:textId="77777777" w:rsidR="00953AD5" w:rsidRDefault="00000000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Измерительный блок греющей пластины с имитацией потоотделения и горячей охранной зоной используют как указано в ISO 11092. Устройство подведения воды (рисунок 1, обозначение 7) располагают непосредственно над испытуемой пробой и по ее центру.</w:t>
      </w:r>
    </w:p>
    <w:p w14:paraId="6D42E88F" w14:textId="77777777" w:rsidR="00953AD5" w:rsidRDefault="00000000">
      <w:pPr>
        <w:widowControl w:val="0"/>
        <w:autoSpaceDE w:val="0"/>
        <w:spacing w:after="0" w:line="360" w:lineRule="auto"/>
        <w:ind w:firstLine="72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DF2F0C" wp14:editId="501CAF88">
            <wp:extent cx="5038725" cy="453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0B361" w14:textId="77777777" w:rsidR="00953AD5" w:rsidRDefault="00000000">
      <w:pPr>
        <w:widowControl w:val="0"/>
        <w:autoSpaceDE w:val="0"/>
        <w:spacing w:after="0"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Cs/>
          <w:i/>
          <w:color w:val="000000"/>
          <w:szCs w:val="24"/>
        </w:rPr>
        <w:t>1</w:t>
      </w:r>
      <w:r>
        <w:rPr>
          <w:rFonts w:ascii="Arial" w:hAnsi="Arial" w:cs="Arial"/>
          <w:bCs/>
          <w:color w:val="000000"/>
          <w:szCs w:val="24"/>
        </w:rPr>
        <w:t xml:space="preserve"> – </w:t>
      </w:r>
      <w:r>
        <w:rPr>
          <w:rFonts w:ascii="Arial" w:hAnsi="Arial" w:cs="Arial"/>
          <w:color w:val="000000"/>
          <w:szCs w:val="24"/>
        </w:rPr>
        <w:t>испытуемая проба</w:t>
      </w:r>
      <w:r>
        <w:rPr>
          <w:rFonts w:ascii="Arial" w:hAnsi="Arial" w:cs="Arial"/>
          <w:bCs/>
          <w:color w:val="000000"/>
          <w:szCs w:val="24"/>
        </w:rPr>
        <w:t xml:space="preserve">; </w:t>
      </w:r>
      <w:r>
        <w:rPr>
          <w:rFonts w:ascii="Arial" w:hAnsi="Arial" w:cs="Arial"/>
          <w:bCs/>
          <w:i/>
          <w:color w:val="000000"/>
          <w:szCs w:val="24"/>
        </w:rPr>
        <w:t>2</w:t>
      </w:r>
      <w:r>
        <w:rPr>
          <w:rFonts w:ascii="Arial" w:hAnsi="Arial" w:cs="Arial"/>
          <w:bCs/>
          <w:color w:val="000000"/>
          <w:szCs w:val="24"/>
        </w:rPr>
        <w:t xml:space="preserve"> – </w:t>
      </w:r>
      <w:r>
        <w:rPr>
          <w:rFonts w:ascii="Arial" w:hAnsi="Arial" w:cs="Arial"/>
          <w:color w:val="000000"/>
          <w:szCs w:val="24"/>
        </w:rPr>
        <w:t xml:space="preserve">датчик температуры; </w:t>
      </w:r>
      <w:r>
        <w:rPr>
          <w:rFonts w:ascii="Arial" w:hAnsi="Arial" w:cs="Arial"/>
          <w:i/>
          <w:color w:val="000000"/>
          <w:szCs w:val="24"/>
        </w:rPr>
        <w:t>3</w:t>
      </w:r>
      <w:r>
        <w:rPr>
          <w:rFonts w:ascii="Arial" w:hAnsi="Arial" w:cs="Arial"/>
          <w:color w:val="000000"/>
          <w:szCs w:val="24"/>
        </w:rPr>
        <w:t xml:space="preserve"> – регулятор температуры; </w:t>
      </w:r>
    </w:p>
    <w:p w14:paraId="594E6CC6" w14:textId="77777777" w:rsidR="00953AD5" w:rsidRDefault="00000000">
      <w:pPr>
        <w:widowControl w:val="0"/>
        <w:autoSpaceDE w:val="0"/>
        <w:spacing w:after="0"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i/>
          <w:color w:val="000000"/>
          <w:szCs w:val="24"/>
        </w:rPr>
        <w:t>4</w:t>
      </w:r>
      <w:r>
        <w:rPr>
          <w:rFonts w:ascii="Arial" w:hAnsi="Arial" w:cs="Arial"/>
          <w:color w:val="000000"/>
          <w:szCs w:val="24"/>
        </w:rPr>
        <w:t xml:space="preserve"> – устройство для измерения мощности нагрева; </w:t>
      </w:r>
      <w:r>
        <w:rPr>
          <w:rFonts w:ascii="Arial" w:hAnsi="Arial" w:cs="Arial"/>
          <w:i/>
          <w:color w:val="000000"/>
          <w:szCs w:val="24"/>
        </w:rPr>
        <w:t>5</w:t>
      </w:r>
      <w:r>
        <w:rPr>
          <w:rFonts w:ascii="Arial" w:hAnsi="Arial" w:cs="Arial"/>
          <w:color w:val="000000"/>
          <w:szCs w:val="24"/>
        </w:rPr>
        <w:t xml:space="preserve"> – устройство подачи воды; </w:t>
      </w:r>
    </w:p>
    <w:p w14:paraId="30AFCE48" w14:textId="77777777" w:rsidR="00953AD5" w:rsidRDefault="00000000">
      <w:pPr>
        <w:widowControl w:val="0"/>
        <w:autoSpaceDE w:val="0"/>
        <w:spacing w:after="0"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i/>
          <w:color w:val="000000"/>
          <w:szCs w:val="24"/>
        </w:rPr>
        <w:t>6</w:t>
      </w:r>
      <w:r>
        <w:rPr>
          <w:rFonts w:ascii="Arial" w:hAnsi="Arial" w:cs="Arial"/>
          <w:color w:val="000000"/>
          <w:szCs w:val="24"/>
        </w:rPr>
        <w:t xml:space="preserve"> – металлический блок, включая нагревательные элементы; </w:t>
      </w:r>
      <w:r>
        <w:rPr>
          <w:rFonts w:ascii="Arial" w:hAnsi="Arial" w:cs="Arial"/>
          <w:i/>
          <w:color w:val="000000"/>
          <w:szCs w:val="24"/>
        </w:rPr>
        <w:t>7</w:t>
      </w:r>
      <w:r>
        <w:rPr>
          <w:rFonts w:ascii="Arial" w:hAnsi="Arial" w:cs="Arial"/>
          <w:color w:val="000000"/>
          <w:szCs w:val="24"/>
        </w:rPr>
        <w:t xml:space="preserve"> – устройство подведения воды; 8 - шприц, соединяющийся с гибкой трубкой</w:t>
      </w:r>
    </w:p>
    <w:p w14:paraId="63897EA4" w14:textId="77777777" w:rsidR="00953AD5" w:rsidRDefault="00000000">
      <w:pPr>
        <w:widowControl w:val="0"/>
        <w:autoSpaceDE w:val="0"/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Рисунок 1 — Измерительный блок греющей пластины с имитацией потоотделения и горячей охранной зоной с устройством подведения воды</w:t>
      </w:r>
    </w:p>
    <w:p w14:paraId="2CCC354B" w14:textId="77777777" w:rsidR="00953AD5" w:rsidRDefault="00953AD5">
      <w:pPr>
        <w:widowControl w:val="0"/>
        <w:autoSpaceDE w:val="0"/>
        <w:spacing w:after="0" w:line="36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1253E50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5.3 Устройство подведения воды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D44226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Устройство, используемое для подведения воды к испытуемой пробе, устанавливают непосредственно над центром испытуемой пробы.</w:t>
      </w:r>
    </w:p>
    <w:p w14:paraId="75FAA9C2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Трубка с внутренним диаметром (3,5 ± 0,5) мм внутри камеры подсоединена к шприцу снаружи камеры. Во всех случаях устройство подведения воды должно быть закреплено таким образом, чтобы вода подводилась с высоты (50 ± 5) мм над </w:t>
      </w:r>
      <w:r>
        <w:rPr>
          <w:rFonts w:ascii="Arial" w:hAnsi="Arial" w:cs="Arial"/>
          <w:color w:val="000000"/>
          <w:sz w:val="24"/>
          <w:szCs w:val="24"/>
        </w:rPr>
        <w:lastRenderedPageBreak/>
        <w:t>поверхностью испытуемой пробы и чтобы вода лилась в течение (5 ± 1) с с помощью шприца или его аналога.</w:t>
      </w:r>
    </w:p>
    <w:p w14:paraId="2C4F5E5B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5.4 Испытательная камера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E38BAB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Испытательная камера греющей пластины с имитацией потоотделения и горячей охранной зоной должна соответствовать испытательной камере, указанной в ISO 11092.</w:t>
      </w:r>
    </w:p>
    <w:p w14:paraId="63720B51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2929075B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>6 Процедура испытания</w:t>
      </w:r>
    </w:p>
    <w:p w14:paraId="260BFB3D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>6.1 Подготовка испытуемых проб</w:t>
      </w:r>
    </w:p>
    <w:p w14:paraId="34B20A15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6.1.1 От испытуемого образца вырезают не менее 3 испытуемых проб размером (300 × 300) мм. Размеры испытуемых проб должны быть достаточными, чтобы полностью покрывать поверхность измерительного блока и температурной охранной зоны.</w:t>
      </w:r>
    </w:p>
    <w:p w14:paraId="2D39A6F0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6.1.2 Перед испытанием испытуемую пробу выдерживают не менее 12 ч при температуре 35 °С и </w:t>
      </w:r>
      <w:r>
        <w:rPr>
          <w:rFonts w:ascii="Arial" w:hAnsi="Arial" w:cs="Arial"/>
          <w:color w:val="000000"/>
          <w:sz w:val="24"/>
          <w:szCs w:val="24"/>
          <w:lang w:val="en-US"/>
        </w:rPr>
        <w:t>RH</w:t>
      </w:r>
      <w:r>
        <w:rPr>
          <w:rFonts w:ascii="Arial" w:hAnsi="Arial" w:cs="Arial"/>
          <w:color w:val="000000"/>
          <w:sz w:val="24"/>
          <w:szCs w:val="24"/>
        </w:rPr>
        <w:t xml:space="preserve"> 40 % в испытательной камере с кондиционированием в соответствии с ISO 11092.</w:t>
      </w:r>
    </w:p>
    <w:p w14:paraId="17C620D4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>6.2 Измерение сопротивления проникновению пара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  <w:lang w:val="en-US"/>
        </w:rPr>
        <w:t>R</w:t>
      </w:r>
      <w:r>
        <w:rPr>
          <w:rFonts w:ascii="Arial" w:hAnsi="Arial" w:cs="Arial"/>
          <w:b/>
          <w:i/>
          <w:color w:val="000000"/>
          <w:sz w:val="24"/>
          <w:szCs w:val="24"/>
          <w:vertAlign w:val="subscript"/>
          <w:lang w:val="en-US"/>
        </w:rPr>
        <w:t>et</w:t>
      </w:r>
    </w:p>
    <w:p w14:paraId="26E61E1D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Измерение </w:t>
      </w:r>
      <w:r>
        <w:rPr>
          <w:rFonts w:ascii="Arial" w:hAnsi="Arial" w:cs="Arial"/>
          <w:i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et</w:t>
      </w:r>
      <w:r>
        <w:rPr>
          <w:rFonts w:ascii="Arial" w:hAnsi="Arial" w:cs="Arial"/>
          <w:color w:val="000000"/>
          <w:sz w:val="24"/>
          <w:szCs w:val="24"/>
        </w:rPr>
        <w:t xml:space="preserve"> испытуемой пробы с помощью греющей пластины с имитацией потоотделения и горячей охранной зоной должно соответствовать условиям и процедурам испытания ISO 11092 для материалов толщиной менее 5 мм. </w:t>
      </w:r>
    </w:p>
    <w:p w14:paraId="651E01BE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6.2.1 Устанавливают температуру измерительного блока и воздуха на 35 °C при относительной влажности 40 %. Поддерживают скорость воздуха на уровне 1 м/с.</w:t>
      </w:r>
    </w:p>
    <w:p w14:paraId="4B35D39A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pacing w:val="40"/>
          <w:szCs w:val="24"/>
        </w:rPr>
        <w:t>Примечание</w:t>
      </w:r>
      <w:r>
        <w:rPr>
          <w:rFonts w:ascii="Arial" w:hAnsi="Arial" w:cs="Arial"/>
          <w:color w:val="000000"/>
          <w:szCs w:val="24"/>
        </w:rPr>
        <w:t xml:space="preserve"> — Данные изотермические условия предотвращают конденсацию водяного пара внутри испытуемой пробы.</w:t>
      </w:r>
    </w:p>
    <w:p w14:paraId="6B03A544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6.2.2 Помещают испытуемую пробу на измерительный блок, ждут, пока прибор и испытуемая проба не до</w:t>
      </w:r>
      <w:r>
        <w:rPr>
          <w:rFonts w:ascii="Arial" w:hAnsi="Arial" w:cs="Arial"/>
          <w:color w:val="000000" w:themeColor="text1"/>
          <w:sz w:val="24"/>
          <w:szCs w:val="24"/>
        </w:rPr>
        <w:t>стигнут стационарного состояния</w:t>
      </w:r>
      <w:r>
        <w:rPr>
          <w:rFonts w:ascii="Arial" w:hAnsi="Arial" w:cs="Arial"/>
          <w:color w:val="000000"/>
          <w:sz w:val="24"/>
          <w:szCs w:val="24"/>
        </w:rPr>
        <w:t xml:space="preserve">, и считывают значение </w:t>
      </w:r>
      <w:r>
        <w:rPr>
          <w:rFonts w:ascii="Arial" w:hAnsi="Arial" w:cs="Arial"/>
          <w:i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et</w:t>
      </w:r>
      <w:r>
        <w:rPr>
          <w:rFonts w:ascii="Arial" w:hAnsi="Arial" w:cs="Arial"/>
          <w:color w:val="000000"/>
          <w:sz w:val="24"/>
          <w:szCs w:val="24"/>
        </w:rPr>
        <w:t xml:space="preserve"> с греющей пластины с имитацией потоотделения и горячей охранной зоной.</w:t>
      </w:r>
    </w:p>
    <w:p w14:paraId="05E8183E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6.3 Определение времени высыхания</w:t>
      </w:r>
    </w:p>
    <w:p w14:paraId="33F6C3C9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6.3.1 Подготавливают устройство подведения воды с (5,0 ± 0,1) мл воды так, чтобы вода достигла необходимой температуры (20 ± 2) °C.</w:t>
      </w:r>
    </w:p>
    <w:p w14:paraId="1CC1D7E1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6.3.2 После поддержания данных условий в течение 10 мин смачивают испытуемую пробу 5 мл воды через устройство подведения воды.</w:t>
      </w:r>
    </w:p>
    <w:p w14:paraId="53838EC1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6.3.3 Когда испытуемую пробу начинают смачивать, записывают момент времени, когда значение </w:t>
      </w:r>
      <w:r>
        <w:rPr>
          <w:rFonts w:ascii="Arial" w:hAnsi="Arial" w:cs="Arial"/>
          <w:i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et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 стационарном сост</w:t>
      </w:r>
      <w:r>
        <w:rPr>
          <w:rFonts w:ascii="Arial" w:hAnsi="Arial" w:cs="Arial"/>
          <w:color w:val="000000"/>
          <w:sz w:val="24"/>
          <w:szCs w:val="24"/>
        </w:rPr>
        <w:t>оянии начинает быстро изменяться (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момент времени, в котором данное значение отклоняется от среднего значения,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определенного в течении 5 мин стационарного с</w:t>
      </w:r>
      <w:r>
        <w:rPr>
          <w:rFonts w:ascii="Arial" w:hAnsi="Arial" w:cs="Arial"/>
          <w:color w:val="000000"/>
          <w:sz w:val="24"/>
          <w:szCs w:val="24"/>
        </w:rPr>
        <w:t xml:space="preserve">остояния непосредственно перед добавлением дистиллированной воды) как </w:t>
      </w:r>
      <w:r>
        <w:rPr>
          <w:rFonts w:ascii="Arial" w:hAnsi="Arial" w:cs="Arial"/>
          <w:i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9086EE8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6.3.4 Путем оценки времени, необходимого для того, чтобы значение </w:t>
      </w:r>
      <w:r>
        <w:rPr>
          <w:rFonts w:ascii="Arial" w:hAnsi="Arial" w:cs="Arial"/>
          <w:i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et</w:t>
      </w:r>
      <w:r>
        <w:rPr>
          <w:rFonts w:ascii="Arial" w:hAnsi="Arial" w:cs="Arial"/>
          <w:color w:val="000000"/>
          <w:sz w:val="24"/>
          <w:szCs w:val="24"/>
        </w:rPr>
        <w:t xml:space="preserve"> достигло среднего значения </w:t>
      </w:r>
      <w:r>
        <w:rPr>
          <w:rFonts w:ascii="Arial" w:hAnsi="Arial" w:cs="Arial"/>
          <w:i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et</w:t>
      </w:r>
      <w:r>
        <w:rPr>
          <w:rFonts w:ascii="Arial" w:hAnsi="Arial" w:cs="Arial"/>
          <w:color w:val="000000"/>
          <w:sz w:val="24"/>
          <w:szCs w:val="24"/>
        </w:rPr>
        <w:t xml:space="preserve"> до 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/>
          <w:sz w:val="24"/>
          <w:szCs w:val="24"/>
        </w:rPr>
        <w:t>, измеряют прошедшее время и записывают его как 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. Здесь значение </w:t>
      </w:r>
      <w:r>
        <w:rPr>
          <w:rFonts w:ascii="Arial" w:hAnsi="Arial" w:cs="Arial"/>
          <w:i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et</w:t>
      </w:r>
      <w:r>
        <w:rPr>
          <w:rFonts w:ascii="Arial" w:hAnsi="Arial" w:cs="Arial"/>
          <w:color w:val="000000"/>
          <w:sz w:val="24"/>
          <w:szCs w:val="24"/>
        </w:rPr>
        <w:t xml:space="preserve"> в момент 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, составляющее 99 % от среднего значения </w:t>
      </w:r>
      <w:r>
        <w:rPr>
          <w:rFonts w:ascii="Arial" w:hAnsi="Arial" w:cs="Arial"/>
          <w:i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et</w:t>
      </w:r>
      <w:r>
        <w:rPr>
          <w:rFonts w:ascii="Arial" w:hAnsi="Arial" w:cs="Arial"/>
          <w:color w:val="000000"/>
          <w:sz w:val="24"/>
          <w:szCs w:val="24"/>
        </w:rPr>
        <w:t xml:space="preserve"> до момента 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>
        <w:rPr>
          <w:rFonts w:ascii="Arial" w:hAnsi="Arial" w:cs="Arial"/>
          <w:color w:val="000000"/>
          <w:sz w:val="24"/>
          <w:szCs w:val="24"/>
        </w:rPr>
        <w:t>, определяют с использованием метода линейной интерполяции.</w:t>
      </w:r>
    </w:p>
    <w:p w14:paraId="5393B098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6.4 Расчет времени высыхания</w:t>
      </w:r>
    </w:p>
    <w:p w14:paraId="63EA89DD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Время высыхания </w:t>
      </w:r>
      <w:r>
        <w:rPr>
          <w:rFonts w:ascii="Arial" w:hAnsi="Arial" w:cs="Arial"/>
          <w:i/>
          <w:color w:val="000000"/>
          <w:sz w:val="24"/>
          <w:szCs w:val="24"/>
          <w:lang w:val="en-US"/>
        </w:rPr>
        <w:t>t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рассчитывают с использованием значений 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>и 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по формуле:</w:t>
      </w:r>
    </w:p>
    <w:p w14:paraId="37B7CA8A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color w:val="000000"/>
          <w:sz w:val="24"/>
          <w:szCs w:val="24"/>
          <w:lang w:val="en-US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= </w:t>
      </w:r>
      <w:r>
        <w:rPr>
          <w:rFonts w:ascii="Arial" w:hAnsi="Arial" w:cs="Arial"/>
          <w:color w:val="000000"/>
          <w:sz w:val="24"/>
          <w:szCs w:val="24"/>
          <w:lang w:val="en-US"/>
        </w:rPr>
        <w:t>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— </w:t>
      </w:r>
      <w:r>
        <w:rPr>
          <w:rFonts w:ascii="Arial" w:hAnsi="Arial" w:cs="Arial"/>
          <w:color w:val="000000"/>
          <w:sz w:val="24"/>
          <w:szCs w:val="24"/>
          <w:lang w:val="en-US"/>
        </w:rPr>
        <w:t>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 xml:space="preserve">1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(1)</w:t>
      </w:r>
    </w:p>
    <w:p w14:paraId="20E1CF26" w14:textId="77777777" w:rsidR="00953AD5" w:rsidRDefault="0000000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где</w:t>
      </w:r>
    </w:p>
    <w:p w14:paraId="11D4B56E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— время высыхания испытуемой пробы, с;</w:t>
      </w:r>
    </w:p>
    <w:p w14:paraId="28410186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 xml:space="preserve">2 </w:t>
      </w:r>
      <w:r>
        <w:rPr>
          <w:rFonts w:ascii="Arial" w:hAnsi="Arial" w:cs="Arial"/>
          <w:color w:val="000000"/>
          <w:sz w:val="24"/>
          <w:szCs w:val="24"/>
        </w:rPr>
        <w:t xml:space="preserve">— </w:t>
      </w:r>
      <w:r>
        <w:rPr>
          <w:rFonts w:ascii="Arial" w:hAnsi="Arial" w:cs="Arial"/>
          <w:color w:val="000000" w:themeColor="text1"/>
          <w:sz w:val="24"/>
          <w:szCs w:val="24"/>
        </w:rPr>
        <w:t>момент времени, в котором прекращается высыхание воды, с;</w:t>
      </w:r>
    </w:p>
    <w:p w14:paraId="60E42CDF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1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— момент времени, </w:t>
      </w:r>
      <w:r>
        <w:rPr>
          <w:rFonts w:ascii="Arial" w:hAnsi="Arial" w:cs="Arial"/>
          <w:color w:val="000000"/>
          <w:sz w:val="24"/>
          <w:szCs w:val="24"/>
        </w:rPr>
        <w:t>в котором начинается высыхание сразу после увлажнения водой, с.</w:t>
      </w:r>
    </w:p>
    <w:p w14:paraId="2C9A53E2" w14:textId="77777777" w:rsidR="00953AD5" w:rsidRDefault="0000000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786DBE1" wp14:editId="0BAE4106">
            <wp:extent cx="6119495" cy="30530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DC05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Рисунок 2 — Определение времени высыхания посредством измерения 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>и t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557A44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6.5 Выражение скорости высыхания</w:t>
      </w:r>
    </w:p>
    <w:p w14:paraId="2940635D" w14:textId="77777777" w:rsidR="00953AD5" w:rsidRDefault="00000000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Рассчитанное время высыхания представляет собой приблизительный результат, основанный на использовании 5 мл дистиллированной воды, и поэтому данное время высыхания выражают как скорость высыхания в секундах на 5 мл воды.</w:t>
      </w:r>
    </w:p>
    <w:p w14:paraId="2630A667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36C7910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36D24C4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>7 Протокол испытаний</w:t>
      </w:r>
    </w:p>
    <w:p w14:paraId="6D2857C1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Протокол испытаний должен содержать следующую информацию:</w:t>
      </w:r>
    </w:p>
    <w:p w14:paraId="3FBB7E2D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a</w:t>
      </w:r>
      <w:r>
        <w:rPr>
          <w:rFonts w:ascii="Arial" w:hAnsi="Arial" w:cs="Arial"/>
          <w:color w:val="000000"/>
          <w:sz w:val="24"/>
          <w:szCs w:val="24"/>
        </w:rPr>
        <w:t>) номер и дату настоящего стандарта;</w:t>
      </w:r>
    </w:p>
    <w:p w14:paraId="16E44FF4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b</w:t>
      </w:r>
      <w:r>
        <w:rPr>
          <w:rFonts w:ascii="Arial" w:hAnsi="Arial" w:cs="Arial"/>
          <w:color w:val="000000"/>
          <w:sz w:val="24"/>
          <w:szCs w:val="24"/>
        </w:rPr>
        <w:t>) идентификацию образца;</w:t>
      </w:r>
    </w:p>
    <w:p w14:paraId="4FDC01AE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c</w:t>
      </w:r>
      <w:r>
        <w:rPr>
          <w:rFonts w:ascii="Arial" w:hAnsi="Arial" w:cs="Arial"/>
          <w:color w:val="000000"/>
          <w:sz w:val="24"/>
          <w:szCs w:val="24"/>
        </w:rPr>
        <w:t>) номер испытуемой пробы;</w:t>
      </w:r>
    </w:p>
    <w:p w14:paraId="46395956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d</w:t>
      </w:r>
      <w:r>
        <w:rPr>
          <w:rFonts w:ascii="Arial" w:hAnsi="Arial" w:cs="Arial"/>
          <w:color w:val="000000"/>
          <w:sz w:val="24"/>
          <w:szCs w:val="24"/>
        </w:rPr>
        <w:t>) используемые атмосферные условия кондиционирования;</w:t>
      </w:r>
    </w:p>
    <w:p w14:paraId="21250C04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e</w:t>
      </w:r>
      <w:r>
        <w:rPr>
          <w:rFonts w:ascii="Arial" w:hAnsi="Arial" w:cs="Arial"/>
          <w:color w:val="000000"/>
          <w:sz w:val="24"/>
          <w:szCs w:val="24"/>
        </w:rPr>
        <w:t>) среднее значение и коэффициент вариации для скорости высыхания;</w:t>
      </w:r>
    </w:p>
    <w:p w14:paraId="254AABC7" w14:textId="77777777" w:rsidR="00953AD5" w:rsidRDefault="00000000">
      <w:pPr>
        <w:spacing w:after="0" w:line="360" w:lineRule="auto"/>
        <w:ind w:firstLine="72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</w:rPr>
        <w:t>любые</w:t>
      </w:r>
      <w:r>
        <w:rPr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отклонения от установленной в настоящем стандарте процедуры.</w:t>
      </w:r>
    </w:p>
    <w:p w14:paraId="3CACBF38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A309D96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61A5FF4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CDFF305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67B0FC9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2A196D5C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2C852602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B0FEE6D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D3A7AF3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78BB4B0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559F99E1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6DF33B0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BCED6CF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9137DF1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2BD36FFA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97B9319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4C718A6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250967BB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4DD3916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5E3FE1F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698D249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5FC8315B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E1A4D32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2104889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5BB93A5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81C2617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2AEE11A7" w14:textId="77777777" w:rsidR="00953AD5" w:rsidRDefault="00953AD5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A281095" w14:textId="77777777" w:rsidR="00953AD5" w:rsidRDefault="00000000">
      <w:pPr>
        <w:suppressAutoHyphens w:val="0"/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  <w:lang w:eastAsia="ar-SA"/>
        </w:rPr>
        <w:t>Приложение А</w:t>
      </w:r>
    </w:p>
    <w:p w14:paraId="3E10E099" w14:textId="77777777" w:rsidR="00953AD5" w:rsidRDefault="00000000">
      <w:pPr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kern w:val="0"/>
          <w:sz w:val="24"/>
          <w:szCs w:val="24"/>
          <w:lang w:eastAsia="ar-SA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  <w:lang w:eastAsia="ar-SA"/>
        </w:rPr>
        <w:lastRenderedPageBreak/>
        <w:t>(справочное)</w:t>
      </w:r>
    </w:p>
    <w:p w14:paraId="28851777" w14:textId="77777777" w:rsidR="00953AD5" w:rsidRDefault="00953AD5">
      <w:pPr>
        <w:suppressAutoHyphens w:val="0"/>
        <w:spacing w:after="0" w:line="360" w:lineRule="auto"/>
        <w:jc w:val="center"/>
        <w:rPr>
          <w:color w:val="000000"/>
        </w:rPr>
      </w:pPr>
    </w:p>
    <w:p w14:paraId="14E1E775" w14:textId="77777777" w:rsidR="00953AD5" w:rsidRDefault="00000000">
      <w:pPr>
        <w:spacing w:after="0" w:line="360" w:lineRule="auto"/>
        <w:jc w:val="center"/>
        <w:rPr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Пример результата испытания </w:t>
      </w:r>
    </w:p>
    <w:p w14:paraId="397921F6" w14:textId="77777777" w:rsidR="00953AD5" w:rsidRDefault="00953AD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18A584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А.1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Сравнение скоростей высыхания</w:t>
      </w:r>
    </w:p>
    <w:p w14:paraId="0792C047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Цель – сравнение скорости высыхания четырех видов образцов, представляющих собой однослойные трикотажные полотна. Получено значение путем усреднения трех измеренных значений времени высыхания для каждой испытуемой пробы, и показан коэффициент вариации в пределах 5,5 % — 7,7 %. Скорость высыхания образца № 1 составляет 2333,7 с/ 5 мл, а скорость высыхания образца № 4 составляет 2959,3 с/ 5 мл при их среднем времени высыхания, и, таким образом, разницу в характеристиках высыхания можно определить количественно.</w:t>
      </w:r>
    </w:p>
    <w:p w14:paraId="23E71912" w14:textId="77777777" w:rsidR="00953AD5" w:rsidRDefault="00000000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А.2 Скорости высыхания образцов</w:t>
      </w:r>
    </w:p>
    <w:p w14:paraId="73B980A2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сравнении четырех видов образцов текстильных материалов один испытатель проводил испытания «определение скорости высыхания» с использованием одной и той же процедуры измерения и прибора в одном и том же месте в течение короткого периода времени.</w:t>
      </w:r>
    </w:p>
    <w:p w14:paraId="2E88B06D" w14:textId="77777777" w:rsidR="00953AD5" w:rsidRDefault="00000000">
      <w:pPr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Таблице А.1 показана повторяемость результатов испытаний.</w:t>
      </w:r>
    </w:p>
    <w:p w14:paraId="4CE51CE3" w14:textId="77777777" w:rsidR="00953AD5" w:rsidRDefault="00000000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40"/>
        </w:rPr>
        <w:t>Таблица</w:t>
      </w:r>
      <w:r>
        <w:rPr>
          <w:rFonts w:ascii="Arial" w:hAnsi="Arial" w:cs="Arial"/>
          <w:color w:val="000000"/>
        </w:rPr>
        <w:t xml:space="preserve"> А.1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22"/>
        <w:gridCol w:w="1185"/>
        <w:gridCol w:w="1376"/>
        <w:gridCol w:w="807"/>
        <w:gridCol w:w="708"/>
        <w:gridCol w:w="771"/>
        <w:gridCol w:w="1040"/>
        <w:gridCol w:w="1431"/>
        <w:gridCol w:w="1287"/>
      </w:tblGrid>
      <w:tr w:rsidR="00953AD5" w14:paraId="2CAA08F1" w14:textId="77777777">
        <w:trPr>
          <w:trHeight w:val="963"/>
        </w:trPr>
        <w:tc>
          <w:tcPr>
            <w:tcW w:w="1022" w:type="dxa"/>
            <w:vMerge w:val="restart"/>
            <w:vAlign w:val="center"/>
          </w:tcPr>
          <w:p w14:paraId="0C9221C3" w14:textId="77777777" w:rsidR="00953AD5" w:rsidRDefault="00953AD5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5D25DB87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Сырьевой состав</w:t>
            </w:r>
          </w:p>
          <w:p w14:paraId="1063B1E6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376" w:type="dxa"/>
            <w:vMerge w:val="restart"/>
            <w:vAlign w:val="center"/>
          </w:tcPr>
          <w:p w14:paraId="5BAC6E97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Поверхност-ная плотность</w:t>
            </w:r>
          </w:p>
          <w:p w14:paraId="011B6CE1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(г/м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6" w:type="dxa"/>
            <w:gridSpan w:val="3"/>
            <w:vAlign w:val="center"/>
          </w:tcPr>
          <w:p w14:paraId="142C94EF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Определенное время высыхания испытуемой пробы (с)</w:t>
            </w:r>
          </w:p>
        </w:tc>
        <w:tc>
          <w:tcPr>
            <w:tcW w:w="1040" w:type="dxa"/>
            <w:vMerge w:val="restart"/>
            <w:vAlign w:val="center"/>
          </w:tcPr>
          <w:p w14:paraId="0D5A5A36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Среднее время</w:t>
            </w:r>
          </w:p>
          <w:p w14:paraId="5E43903C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(с)</w:t>
            </w:r>
          </w:p>
        </w:tc>
        <w:tc>
          <w:tcPr>
            <w:tcW w:w="1431" w:type="dxa"/>
            <w:vMerge w:val="restart"/>
            <w:vAlign w:val="center"/>
          </w:tcPr>
          <w:p w14:paraId="61014259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Стандартное отклонение</w:t>
            </w:r>
          </w:p>
        </w:tc>
        <w:tc>
          <w:tcPr>
            <w:tcW w:w="1287" w:type="dxa"/>
            <w:vMerge w:val="restart"/>
            <w:vAlign w:val="center"/>
          </w:tcPr>
          <w:p w14:paraId="085B2BC0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Коэффи-циент вариации (%)</w:t>
            </w:r>
          </w:p>
        </w:tc>
      </w:tr>
      <w:tr w:rsidR="00953AD5" w14:paraId="3EEB5B60" w14:textId="77777777">
        <w:trPr>
          <w:trHeight w:val="211"/>
        </w:trPr>
        <w:tc>
          <w:tcPr>
            <w:tcW w:w="1022" w:type="dxa"/>
            <w:vMerge/>
            <w:tcBorders>
              <w:bottom w:val="double" w:sz="4" w:space="0" w:color="auto"/>
            </w:tcBorders>
          </w:tcPr>
          <w:p w14:paraId="1225D521" w14:textId="77777777" w:rsidR="00953AD5" w:rsidRDefault="00953AD5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double" w:sz="4" w:space="0" w:color="auto"/>
            </w:tcBorders>
          </w:tcPr>
          <w:p w14:paraId="506E02B8" w14:textId="77777777" w:rsidR="00953AD5" w:rsidRDefault="00953AD5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bottom w:val="double" w:sz="4" w:space="0" w:color="auto"/>
            </w:tcBorders>
          </w:tcPr>
          <w:p w14:paraId="276B1B5F" w14:textId="77777777" w:rsidR="00953AD5" w:rsidRDefault="00953AD5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double" w:sz="4" w:space="0" w:color="auto"/>
            </w:tcBorders>
          </w:tcPr>
          <w:p w14:paraId="5305CCC6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08DA9CA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771" w:type="dxa"/>
            <w:tcBorders>
              <w:bottom w:val="double" w:sz="4" w:space="0" w:color="auto"/>
            </w:tcBorders>
          </w:tcPr>
          <w:p w14:paraId="75B76666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1040" w:type="dxa"/>
            <w:vMerge/>
            <w:tcBorders>
              <w:bottom w:val="double" w:sz="4" w:space="0" w:color="auto"/>
            </w:tcBorders>
          </w:tcPr>
          <w:p w14:paraId="17E043DA" w14:textId="77777777" w:rsidR="00953AD5" w:rsidRDefault="00953AD5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double" w:sz="4" w:space="0" w:color="auto"/>
            </w:tcBorders>
          </w:tcPr>
          <w:p w14:paraId="1197D226" w14:textId="77777777" w:rsidR="00953AD5" w:rsidRDefault="00953AD5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double" w:sz="4" w:space="0" w:color="auto"/>
            </w:tcBorders>
          </w:tcPr>
          <w:p w14:paraId="0865A804" w14:textId="77777777" w:rsidR="00953AD5" w:rsidRDefault="00953AD5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AD5" w14:paraId="5BAE1EEC" w14:textId="77777777">
        <w:tc>
          <w:tcPr>
            <w:tcW w:w="1022" w:type="dxa"/>
            <w:tcBorders>
              <w:top w:val="double" w:sz="4" w:space="0" w:color="auto"/>
            </w:tcBorders>
            <w:vAlign w:val="center"/>
          </w:tcPr>
          <w:p w14:paraId="661D3502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Образец 1</w:t>
            </w:r>
          </w:p>
        </w:tc>
        <w:tc>
          <w:tcPr>
            <w:tcW w:w="1185" w:type="dxa"/>
            <w:tcBorders>
              <w:top w:val="double" w:sz="4" w:space="0" w:color="auto"/>
            </w:tcBorders>
            <w:vAlign w:val="center"/>
          </w:tcPr>
          <w:p w14:paraId="09878457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Полиэфир</w:t>
            </w:r>
          </w:p>
          <w:p w14:paraId="2EECC5B0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4C68C0BC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07" w:type="dxa"/>
            <w:tcBorders>
              <w:top w:val="double" w:sz="4" w:space="0" w:color="auto"/>
            </w:tcBorders>
            <w:vAlign w:val="center"/>
          </w:tcPr>
          <w:p w14:paraId="69B6D74B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66E40C6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2534</w:t>
            </w:r>
          </w:p>
        </w:tc>
        <w:tc>
          <w:tcPr>
            <w:tcW w:w="771" w:type="dxa"/>
            <w:tcBorders>
              <w:top w:val="double" w:sz="4" w:space="0" w:color="auto"/>
            </w:tcBorders>
            <w:vAlign w:val="center"/>
          </w:tcPr>
          <w:p w14:paraId="6EB7AE50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vAlign w:val="center"/>
          </w:tcPr>
          <w:p w14:paraId="17A730B8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2333,7</w:t>
            </w:r>
          </w:p>
        </w:tc>
        <w:tc>
          <w:tcPr>
            <w:tcW w:w="1431" w:type="dxa"/>
            <w:tcBorders>
              <w:top w:val="double" w:sz="4" w:space="0" w:color="auto"/>
            </w:tcBorders>
            <w:vAlign w:val="center"/>
          </w:tcPr>
          <w:p w14:paraId="0404CDDA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1287" w:type="dxa"/>
            <w:tcBorders>
              <w:top w:val="double" w:sz="4" w:space="0" w:color="auto"/>
            </w:tcBorders>
            <w:vAlign w:val="center"/>
          </w:tcPr>
          <w:p w14:paraId="4759D0DA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7,4</w:t>
            </w:r>
          </w:p>
        </w:tc>
      </w:tr>
      <w:tr w:rsidR="00953AD5" w14:paraId="79D143B6" w14:textId="77777777">
        <w:tc>
          <w:tcPr>
            <w:tcW w:w="1022" w:type="dxa"/>
            <w:vAlign w:val="center"/>
          </w:tcPr>
          <w:p w14:paraId="41E53ADF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Образец 2</w:t>
            </w:r>
          </w:p>
        </w:tc>
        <w:tc>
          <w:tcPr>
            <w:tcW w:w="1185" w:type="dxa"/>
            <w:vAlign w:val="center"/>
          </w:tcPr>
          <w:p w14:paraId="12104F83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Полиэфир</w:t>
            </w:r>
          </w:p>
          <w:p w14:paraId="16C7078B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376" w:type="dxa"/>
            <w:vAlign w:val="center"/>
          </w:tcPr>
          <w:p w14:paraId="6C7926C0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07" w:type="dxa"/>
            <w:vAlign w:val="center"/>
          </w:tcPr>
          <w:p w14:paraId="7ED089FC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2636</w:t>
            </w:r>
          </w:p>
        </w:tc>
        <w:tc>
          <w:tcPr>
            <w:tcW w:w="708" w:type="dxa"/>
            <w:vAlign w:val="center"/>
          </w:tcPr>
          <w:p w14:paraId="214A7AAA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771" w:type="dxa"/>
            <w:vAlign w:val="center"/>
          </w:tcPr>
          <w:p w14:paraId="415097CF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2991</w:t>
            </w:r>
          </w:p>
        </w:tc>
        <w:tc>
          <w:tcPr>
            <w:tcW w:w="1040" w:type="dxa"/>
            <w:vAlign w:val="center"/>
          </w:tcPr>
          <w:p w14:paraId="4BDCC80D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2820,3</w:t>
            </w:r>
          </w:p>
        </w:tc>
        <w:tc>
          <w:tcPr>
            <w:tcW w:w="1431" w:type="dxa"/>
            <w:vAlign w:val="center"/>
          </w:tcPr>
          <w:p w14:paraId="6FF36B1E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1287" w:type="dxa"/>
            <w:vAlign w:val="center"/>
          </w:tcPr>
          <w:p w14:paraId="68615A47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6,3</w:t>
            </w:r>
          </w:p>
        </w:tc>
      </w:tr>
      <w:tr w:rsidR="00953AD5" w14:paraId="192AB8FC" w14:textId="77777777">
        <w:tc>
          <w:tcPr>
            <w:tcW w:w="1022" w:type="dxa"/>
            <w:vAlign w:val="center"/>
          </w:tcPr>
          <w:p w14:paraId="6C1F88DD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Образец 3</w:t>
            </w:r>
          </w:p>
        </w:tc>
        <w:tc>
          <w:tcPr>
            <w:tcW w:w="1185" w:type="dxa"/>
            <w:vAlign w:val="center"/>
          </w:tcPr>
          <w:p w14:paraId="10D267EC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Полиэфир</w:t>
            </w:r>
          </w:p>
          <w:p w14:paraId="72E96FEB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376" w:type="dxa"/>
            <w:vAlign w:val="center"/>
          </w:tcPr>
          <w:p w14:paraId="00778A81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07" w:type="dxa"/>
            <w:vAlign w:val="center"/>
          </w:tcPr>
          <w:p w14:paraId="05091B5B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708" w:type="dxa"/>
            <w:vAlign w:val="center"/>
          </w:tcPr>
          <w:p w14:paraId="496B3725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771" w:type="dxa"/>
            <w:vAlign w:val="center"/>
          </w:tcPr>
          <w:p w14:paraId="312F578C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1040" w:type="dxa"/>
            <w:vAlign w:val="center"/>
          </w:tcPr>
          <w:p w14:paraId="003E6CEE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1431" w:type="dxa"/>
            <w:vAlign w:val="center"/>
          </w:tcPr>
          <w:p w14:paraId="75E59C7B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206,4</w:t>
            </w:r>
          </w:p>
        </w:tc>
        <w:tc>
          <w:tcPr>
            <w:tcW w:w="1287" w:type="dxa"/>
            <w:vAlign w:val="center"/>
          </w:tcPr>
          <w:p w14:paraId="04B11978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7,7</w:t>
            </w:r>
          </w:p>
        </w:tc>
      </w:tr>
      <w:tr w:rsidR="00953AD5" w14:paraId="73615CFE" w14:textId="77777777">
        <w:tc>
          <w:tcPr>
            <w:tcW w:w="1022" w:type="dxa"/>
            <w:vAlign w:val="center"/>
          </w:tcPr>
          <w:p w14:paraId="17074B5B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Образец 4</w:t>
            </w:r>
          </w:p>
        </w:tc>
        <w:tc>
          <w:tcPr>
            <w:tcW w:w="1185" w:type="dxa"/>
            <w:vAlign w:val="center"/>
          </w:tcPr>
          <w:p w14:paraId="0DE29131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Полиэфир</w:t>
            </w:r>
          </w:p>
          <w:p w14:paraId="47E8C1F1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376" w:type="dxa"/>
            <w:vAlign w:val="center"/>
          </w:tcPr>
          <w:p w14:paraId="47651CC8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07" w:type="dxa"/>
            <w:vAlign w:val="center"/>
          </w:tcPr>
          <w:p w14:paraId="0D0E0385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2977</w:t>
            </w:r>
          </w:p>
        </w:tc>
        <w:tc>
          <w:tcPr>
            <w:tcW w:w="708" w:type="dxa"/>
            <w:vAlign w:val="center"/>
          </w:tcPr>
          <w:p w14:paraId="6DA9B724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2787</w:t>
            </w:r>
          </w:p>
        </w:tc>
        <w:tc>
          <w:tcPr>
            <w:tcW w:w="771" w:type="dxa"/>
            <w:vAlign w:val="center"/>
          </w:tcPr>
          <w:p w14:paraId="22E3D844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3114</w:t>
            </w:r>
          </w:p>
        </w:tc>
        <w:tc>
          <w:tcPr>
            <w:tcW w:w="1040" w:type="dxa"/>
            <w:vAlign w:val="center"/>
          </w:tcPr>
          <w:p w14:paraId="19EC69AB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2959,3</w:t>
            </w:r>
          </w:p>
        </w:tc>
        <w:tc>
          <w:tcPr>
            <w:tcW w:w="1431" w:type="dxa"/>
            <w:vAlign w:val="center"/>
          </w:tcPr>
          <w:p w14:paraId="1D9E8B1B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164,2</w:t>
            </w:r>
          </w:p>
        </w:tc>
        <w:tc>
          <w:tcPr>
            <w:tcW w:w="1287" w:type="dxa"/>
            <w:vAlign w:val="center"/>
          </w:tcPr>
          <w:p w14:paraId="664B574F" w14:textId="77777777" w:rsidR="00953AD5" w:rsidRDefault="00000000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5,5</w:t>
            </w:r>
          </w:p>
        </w:tc>
      </w:tr>
    </w:tbl>
    <w:p w14:paraId="793980AB" w14:textId="77777777" w:rsidR="00953AD5" w:rsidRDefault="00953AD5">
      <w:pPr>
        <w:spacing w:line="360" w:lineRule="auto"/>
        <w:rPr>
          <w:rFonts w:ascii="Arial" w:hAnsi="Arial" w:cs="Arial"/>
          <w:color w:val="000000"/>
        </w:rPr>
      </w:pPr>
    </w:p>
    <w:p w14:paraId="2E0A1ED4" w14:textId="77777777" w:rsidR="00953AD5" w:rsidRDefault="00953AD5">
      <w:pPr>
        <w:rPr>
          <w:rFonts w:ascii="Arial" w:hAnsi="Arial" w:cs="Arial"/>
          <w:color w:val="000000"/>
          <w:sz w:val="20"/>
          <w:szCs w:val="20"/>
        </w:rPr>
      </w:pPr>
    </w:p>
    <w:p w14:paraId="554D647C" w14:textId="77777777" w:rsidR="00953AD5" w:rsidRDefault="00953AD5">
      <w:pPr>
        <w:rPr>
          <w:rFonts w:ascii="Arial" w:hAnsi="Arial" w:cs="Arial"/>
          <w:color w:val="000000"/>
          <w:sz w:val="20"/>
          <w:szCs w:val="20"/>
        </w:rPr>
      </w:pPr>
    </w:p>
    <w:p w14:paraId="1514CF1A" w14:textId="77777777" w:rsidR="00953AD5" w:rsidRDefault="00953AD5">
      <w:pPr>
        <w:rPr>
          <w:rFonts w:ascii="Arial" w:hAnsi="Arial" w:cs="Arial"/>
          <w:color w:val="000000"/>
          <w:sz w:val="20"/>
          <w:szCs w:val="20"/>
        </w:rPr>
      </w:pPr>
    </w:p>
    <w:p w14:paraId="5A59DB0E" w14:textId="77777777" w:rsidR="00953AD5" w:rsidRDefault="00953AD5">
      <w:pPr>
        <w:rPr>
          <w:rFonts w:ascii="Arial" w:hAnsi="Arial" w:cs="Arial"/>
          <w:color w:val="000000"/>
          <w:sz w:val="20"/>
          <w:szCs w:val="20"/>
        </w:rPr>
      </w:pPr>
    </w:p>
    <w:p w14:paraId="44359448" w14:textId="77777777" w:rsidR="00953AD5" w:rsidRDefault="00953AD5">
      <w:pPr>
        <w:rPr>
          <w:rFonts w:ascii="Arial" w:hAnsi="Arial" w:cs="Arial"/>
          <w:color w:val="000000"/>
          <w:sz w:val="20"/>
          <w:szCs w:val="20"/>
        </w:rPr>
      </w:pPr>
    </w:p>
    <w:p w14:paraId="56867315" w14:textId="77777777" w:rsidR="00953AD5" w:rsidRDefault="00000000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Приложение ДА</w:t>
      </w:r>
    </w:p>
    <w:p w14:paraId="7EF9E02A" w14:textId="77777777" w:rsidR="00953AD5" w:rsidRDefault="00000000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(справочное)</w:t>
      </w:r>
    </w:p>
    <w:p w14:paraId="5319AEE8" w14:textId="77777777" w:rsidR="00953AD5" w:rsidRDefault="00000000">
      <w:pPr>
        <w:widowControl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Сведения о соответствии ссылочных международных стандартов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ссылочным</w:t>
      </w:r>
      <w:r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межгосударственным стандартам</w:t>
      </w:r>
    </w:p>
    <w:p w14:paraId="1B57D9AB" w14:textId="77777777" w:rsidR="00953AD5" w:rsidRDefault="00953AD5">
      <w:pPr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46315E" w14:textId="77777777" w:rsidR="00953AD5" w:rsidRDefault="00000000">
      <w:pPr>
        <w:widowControl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0"/>
        </w:rPr>
        <w:t>Таблица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ДА.1</w:t>
      </w:r>
    </w:p>
    <w:tbl>
      <w:tblPr>
        <w:tblW w:w="9683" w:type="dxa"/>
        <w:tblInd w:w="-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2723"/>
        <w:gridCol w:w="1701"/>
        <w:gridCol w:w="5259"/>
      </w:tblGrid>
      <w:tr w:rsidR="00953AD5" w14:paraId="271370C8" w14:textId="77777777">
        <w:trPr>
          <w:trHeight w:val="310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63E0981F" w14:textId="77777777" w:rsidR="00953AD5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Обозначение ссылочного 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nil"/>
            </w:tcBorders>
          </w:tcPr>
          <w:p w14:paraId="3A38C736" w14:textId="77777777" w:rsidR="00953AD5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F3F3650" w14:textId="77777777" w:rsidR="00953AD5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953AD5" w14:paraId="27116B12" w14:textId="77777777">
        <w:trPr>
          <w:trHeight w:val="190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A7AB4" w14:textId="77777777" w:rsidR="00953AD5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 11092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A22142" w14:textId="77777777" w:rsidR="00953AD5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C0F6" w14:textId="77777777" w:rsidR="00953AD5" w:rsidRDefault="000000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ГОСТ ISO 11092—2021 «Материалы и изделия текстильные. Физиологическое воздействие. Определение теплового сопротивления и сопротивления проникновению пара в стационарных условиях (метод испытания с использованием греющей пластины с имитацией потоотделения и горячей охранной зоной)»</w:t>
            </w:r>
          </w:p>
        </w:tc>
      </w:tr>
      <w:tr w:rsidR="00953AD5" w14:paraId="650A36C9" w14:textId="77777777">
        <w:tc>
          <w:tcPr>
            <w:tcW w:w="9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52E0" w14:textId="77777777" w:rsidR="00953AD5" w:rsidRDefault="00000000">
            <w:pPr>
              <w:widowControl w:val="0"/>
              <w:spacing w:after="120" w:line="240" w:lineRule="auto"/>
              <w:ind w:firstLine="4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 р и м е ч а н и е — В настоящей таблице использовано следующее условное обозначение степени соответствия стандартов:</w:t>
            </w:r>
          </w:p>
          <w:p w14:paraId="18894434" w14:textId="77777777" w:rsidR="00953AD5" w:rsidRDefault="00000000">
            <w:pPr>
              <w:widowControl w:val="0"/>
              <w:spacing w:after="0" w:line="240" w:lineRule="auto"/>
              <w:ind w:firstLine="4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 IDT – идентичный стандарт.</w:t>
            </w:r>
          </w:p>
        </w:tc>
      </w:tr>
    </w:tbl>
    <w:p w14:paraId="53E4AA30" w14:textId="77777777" w:rsidR="00953AD5" w:rsidRDefault="00953AD5">
      <w:pPr>
        <w:widowControl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61E63B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CA2365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BCE237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3F09A9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625C48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7AFF5D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A35805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748B5D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33691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2132F8" w14:textId="77777777" w:rsidR="00953AD5" w:rsidRDefault="00953AD5">
      <w:pPr>
        <w:widowControl w:val="0"/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AD02DA" w14:textId="77777777" w:rsidR="00953AD5" w:rsidRDefault="00953AD5">
      <w:pPr>
        <w:rPr>
          <w:rFonts w:ascii="Arial" w:hAnsi="Arial" w:cs="Arial"/>
          <w:color w:val="000000"/>
          <w:sz w:val="20"/>
          <w:szCs w:val="20"/>
        </w:rPr>
      </w:pPr>
    </w:p>
    <w:p w14:paraId="135325DD" w14:textId="77777777" w:rsidR="00953AD5" w:rsidRDefault="00000000">
      <w:pPr>
        <w:pStyle w:val="HEADERTEXT"/>
        <w:spacing w:line="360" w:lineRule="auto"/>
        <w:jc w:val="center"/>
        <w:rPr>
          <w:b/>
          <w:bCs/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lastRenderedPageBreak/>
        <w:t>Библиография</w:t>
      </w:r>
    </w:p>
    <w:tbl>
      <w:tblPr>
        <w:tblW w:w="9498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6521"/>
      </w:tblGrid>
      <w:tr w:rsidR="00953AD5" w14:paraId="702F9802" w14:textId="77777777">
        <w:tc>
          <w:tcPr>
            <w:tcW w:w="567" w:type="dxa"/>
          </w:tcPr>
          <w:p w14:paraId="77E03964" w14:textId="77777777" w:rsidR="00953AD5" w:rsidRDefault="00953AD5">
            <w:pPr>
              <w:pStyle w:val="afd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006B4AD" w14:textId="77777777" w:rsidR="00953AD5" w:rsidRDefault="00000000">
            <w:pPr>
              <w:widowControl w:val="0"/>
              <w:spacing w:after="0" w:line="240" w:lineRule="auto"/>
              <w:ind w:right="256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AATCC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Метод испытания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195</w:t>
            </w:r>
          </w:p>
        </w:tc>
        <w:tc>
          <w:tcPr>
            <w:tcW w:w="6521" w:type="dxa"/>
          </w:tcPr>
          <w:p w14:paraId="4C4E3AB9" w14:textId="77777777" w:rsidR="00953AD5" w:rsidRDefault="0000000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Liquid Moisture Management Properties of Textile Fabrics (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Свойства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текстильных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материалов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по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влагорегулированию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eastAsia="ru-RU"/>
              </w:rPr>
              <w:t>жидкости</w:t>
            </w:r>
            <w:r>
              <w:rPr>
                <w:rFonts w:ascii="Arial" w:hAnsi="Arial" w:cs="Arial"/>
                <w:sz w:val="24"/>
                <w:szCs w:val="20"/>
                <w:lang w:val="en-US" w:eastAsia="ru-RU"/>
              </w:rPr>
              <w:t>)</w:t>
            </w:r>
          </w:p>
        </w:tc>
      </w:tr>
    </w:tbl>
    <w:p w14:paraId="6CE76588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042F0653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1B1251A1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28D25F29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29998149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01019BC0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35C0BA24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3DB1C30F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6794DC6E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54D95AD3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317E3BF3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52CEB750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5F5B5054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4D257F4E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3291B68B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1B14B8DB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0504728B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16AAEED4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3698F490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24EAFEF9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664454F2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667BB47C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32C7DA74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38147313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038F7F11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330A5684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2EA5C74B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28DB4AB6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7FCDE003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1817C043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623796D7" w14:textId="77777777" w:rsidR="00953AD5" w:rsidRDefault="00953AD5">
      <w:pPr>
        <w:pStyle w:val="FORMATTEXT"/>
        <w:spacing w:line="360" w:lineRule="auto"/>
        <w:ind w:firstLine="709"/>
        <w:jc w:val="both"/>
        <w:rPr>
          <w:bCs/>
          <w:color w:val="000000"/>
          <w:sz w:val="24"/>
          <w:szCs w:val="24"/>
          <w:lang w:val="en-US"/>
        </w:rPr>
      </w:pPr>
    </w:p>
    <w:p w14:paraId="09A2A168" w14:textId="77777777" w:rsidR="00953AD5" w:rsidRDefault="00953AD5">
      <w:pPr>
        <w:widowControl w:val="0"/>
        <w:spacing w:after="0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445"/>
        <w:gridCol w:w="3084"/>
      </w:tblGrid>
      <w:tr w:rsidR="00953AD5" w14:paraId="159A363F" w14:textId="77777777">
        <w:tc>
          <w:tcPr>
            <w:tcW w:w="4110" w:type="dxa"/>
            <w:tcBorders>
              <w:top w:val="single" w:sz="4" w:space="0" w:color="000000"/>
            </w:tcBorders>
          </w:tcPr>
          <w:p w14:paraId="3F16CA74" w14:textId="77777777" w:rsidR="00953AD5" w:rsidRDefault="00000000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УДК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677.017:006.354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</w:tcPr>
          <w:p w14:paraId="68619C67" w14:textId="77777777" w:rsidR="00953AD5" w:rsidRDefault="00000000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МКС 59.060.01</w:t>
            </w:r>
          </w:p>
        </w:tc>
        <w:tc>
          <w:tcPr>
            <w:tcW w:w="3084" w:type="dxa"/>
            <w:tcBorders>
              <w:top w:val="single" w:sz="4" w:space="0" w:color="000000"/>
            </w:tcBorders>
          </w:tcPr>
          <w:p w14:paraId="03BA1A93" w14:textId="77777777" w:rsidR="00953AD5" w:rsidRDefault="00000000">
            <w:pPr>
              <w:pStyle w:val="FORMATTEXT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IDT</w:t>
            </w:r>
          </w:p>
        </w:tc>
      </w:tr>
      <w:tr w:rsidR="00953AD5" w14:paraId="58449ADE" w14:textId="77777777"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581FD53E" w14:textId="77777777" w:rsidR="00953AD5" w:rsidRDefault="00000000">
            <w:pPr>
              <w:pStyle w:val="FORMATTEX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Ключевые слова: текстильные материалы, скорость высыхания, динамический режим, греющая пластина с имитацией потоотделения и горячей охранной зоной, тепловое сопротивление, влагорегулирование </w:t>
            </w:r>
          </w:p>
        </w:tc>
      </w:tr>
    </w:tbl>
    <w:p w14:paraId="5AF60D57" w14:textId="77777777" w:rsidR="00953AD5" w:rsidRDefault="00953AD5">
      <w:pPr>
        <w:spacing w:before="100" w:after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AA284" w14:textId="77777777" w:rsidR="00953AD5" w:rsidRDefault="00953AD5">
      <w:pPr>
        <w:spacing w:before="100" w:after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9689D" w14:textId="77777777" w:rsidR="00953AD5" w:rsidRDefault="00953AD5">
      <w:pPr>
        <w:spacing w:before="100" w:after="24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83" w:type="dxa"/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520"/>
      </w:tblGrid>
      <w:tr w:rsidR="00953AD5" w14:paraId="3823CD7C" w14:textId="77777777">
        <w:tc>
          <w:tcPr>
            <w:tcW w:w="4786" w:type="dxa"/>
          </w:tcPr>
          <w:p w14:paraId="425F0D87" w14:textId="77777777" w:rsidR="00953AD5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Генеральный директор </w:t>
            </w:r>
          </w:p>
          <w:p w14:paraId="5396BA40" w14:textId="77777777" w:rsidR="00953AD5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</w:tcPr>
          <w:p w14:paraId="58740AA8" w14:textId="77777777" w:rsidR="00953AD5" w:rsidRDefault="00953AD5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76C9ADF6" w14:textId="77777777" w:rsidR="00953AD5" w:rsidRDefault="00953AD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3223BBE4" w14:textId="77777777" w:rsidR="00953AD5" w:rsidRDefault="00953AD5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1FEBE7AE" w14:textId="77777777" w:rsidR="00953AD5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А.С. Попов</w:t>
            </w:r>
          </w:p>
        </w:tc>
      </w:tr>
      <w:tr w:rsidR="00953AD5" w14:paraId="7B0E4D48" w14:textId="77777777">
        <w:trPr>
          <w:trHeight w:val="382"/>
        </w:trPr>
        <w:tc>
          <w:tcPr>
            <w:tcW w:w="4786" w:type="dxa"/>
          </w:tcPr>
          <w:p w14:paraId="508EEEA1" w14:textId="77777777" w:rsidR="00953AD5" w:rsidRDefault="00953AD5">
            <w:pPr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14:paraId="16657580" w14:textId="77777777" w:rsidR="00953AD5" w:rsidRDefault="00953AD5">
            <w:pPr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4D596F43" w14:textId="77777777" w:rsidR="00953AD5" w:rsidRDefault="00953AD5">
            <w:pPr>
              <w:snapToGrid w:val="0"/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:rsidR="00953AD5" w14:paraId="2D8454DE" w14:textId="77777777">
        <w:tc>
          <w:tcPr>
            <w:tcW w:w="4786" w:type="dxa"/>
          </w:tcPr>
          <w:p w14:paraId="6EB7AB3B" w14:textId="77777777" w:rsidR="00953AD5" w:rsidRDefault="00000000">
            <w:pPr>
              <w:spacing w:after="240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</w:tcPr>
          <w:p w14:paraId="1730DBD0" w14:textId="77777777" w:rsidR="00953AD5" w:rsidRDefault="00953AD5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486D8B43" w14:textId="77777777" w:rsidR="00953AD5" w:rsidRDefault="00000000">
            <w:pPr>
              <w:spacing w:after="240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Н.В. Колесников</w:t>
            </w:r>
          </w:p>
        </w:tc>
      </w:tr>
      <w:tr w:rsidR="00953AD5" w14:paraId="77072420" w14:textId="77777777">
        <w:tc>
          <w:tcPr>
            <w:tcW w:w="4786" w:type="dxa"/>
          </w:tcPr>
          <w:p w14:paraId="48B8A615" w14:textId="77777777" w:rsidR="00953AD5" w:rsidRDefault="00000000">
            <w:pPr>
              <w:spacing w:after="0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Старший инженер отдела стандартизации </w:t>
            </w:r>
          </w:p>
          <w:p w14:paraId="6EC860DF" w14:textId="77777777" w:rsidR="00953AD5" w:rsidRDefault="00000000">
            <w:pPr>
              <w:spacing w:after="0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Эксперт по стандартизации</w:t>
            </w:r>
          </w:p>
          <w:p w14:paraId="183944C6" w14:textId="77777777" w:rsidR="00953AD5" w:rsidRDefault="00000000">
            <w:pPr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СЭ № 0002514 от 26.05.2023 г.</w:t>
            </w:r>
          </w:p>
        </w:tc>
        <w:tc>
          <w:tcPr>
            <w:tcW w:w="2977" w:type="dxa"/>
          </w:tcPr>
          <w:p w14:paraId="681019D9" w14:textId="77777777" w:rsidR="00953AD5" w:rsidRDefault="00953AD5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</w:tcPr>
          <w:p w14:paraId="4CBC8355" w14:textId="77777777" w:rsidR="00953AD5" w:rsidRDefault="00000000">
            <w:pPr>
              <w:snapToGrid w:val="0"/>
              <w:spacing w:before="400" w:after="240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В.С. Новик </w:t>
            </w:r>
          </w:p>
        </w:tc>
      </w:tr>
    </w:tbl>
    <w:p w14:paraId="6801CE11" w14:textId="77777777" w:rsidR="00953AD5" w:rsidRDefault="00953AD5">
      <w:pPr>
        <w:widowControl w:val="0"/>
        <w:spacing w:after="0"/>
        <w:rPr>
          <w:color w:val="000000"/>
        </w:rPr>
      </w:pPr>
    </w:p>
    <w:p w14:paraId="284B587D" w14:textId="77777777" w:rsidR="00953AD5" w:rsidRDefault="00953AD5">
      <w:pPr>
        <w:rPr>
          <w:color w:val="000000"/>
        </w:rPr>
      </w:pPr>
    </w:p>
    <w:sectPr w:rsidR="00953AD5">
      <w:headerReference w:type="first" r:id="rId23"/>
      <w:footerReference w:type="first" r:id="rId24"/>
      <w:pgSz w:w="11906" w:h="16838"/>
      <w:pgMar w:top="993" w:right="851" w:bottom="1134" w:left="1418" w:header="278" w:footer="278" w:gutter="0"/>
      <w:cols w:space="720"/>
      <w:titlePg/>
      <w:docGrid w:linePitch="312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7595" w14:textId="77777777" w:rsidR="000B731C" w:rsidRDefault="000B731C">
      <w:pPr>
        <w:spacing w:line="240" w:lineRule="auto"/>
      </w:pPr>
      <w:r>
        <w:separator/>
      </w:r>
    </w:p>
  </w:endnote>
  <w:endnote w:type="continuationSeparator" w:id="0">
    <w:p w14:paraId="35269037" w14:textId="77777777" w:rsidR="000B731C" w:rsidRDefault="000B7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9C5A" w14:textId="77777777" w:rsidR="00953AD5" w:rsidRDefault="00953AD5">
    <w:pPr>
      <w:pStyle w:val="af2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39D7" w14:textId="77777777" w:rsidR="00953AD5" w:rsidRDefault="00000000">
    <w:pPr>
      <w:pStyle w:val="af2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10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586D" w14:textId="77777777" w:rsidR="00953AD5" w:rsidRDefault="00000000">
    <w:pPr>
      <w:pStyle w:val="af2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9</w:t>
    </w:r>
    <w:r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687E" w14:textId="77777777" w:rsidR="00953AD5" w:rsidRDefault="00000000">
    <w:pPr>
      <w:pStyle w:val="af2"/>
    </w:pPr>
    <w:r>
      <w:fldChar w:fldCharType="begin"/>
    </w:r>
    <w:r>
      <w:instrText>PAGE   \* MERGEFORMAT</w:instrText>
    </w:r>
    <w:r>
      <w:fldChar w:fldCharType="separate"/>
    </w:r>
    <w:r>
      <w:t>II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953AD5" w14:paraId="690E8D24" w14:textId="77777777">
      <w:trPr>
        <w:trHeight w:val="273"/>
      </w:trPr>
      <w:tc>
        <w:tcPr>
          <w:tcW w:w="10314" w:type="dxa"/>
        </w:tcPr>
        <w:p w14:paraId="11C90D43" w14:textId="77777777" w:rsidR="00953AD5" w:rsidRDefault="00000000">
          <w:pPr>
            <w:pStyle w:val="af2"/>
            <w:spacing w:after="0"/>
            <w:rPr>
              <w:rStyle w:val="a8"/>
              <w:i/>
              <w:sz w:val="20"/>
            </w:rPr>
          </w:pPr>
          <w:r>
            <w:rPr>
              <w:rFonts w:ascii="Arial" w:hAnsi="Arial" w:cs="Arial"/>
              <w:b/>
              <w:i/>
              <w:sz w:val="20"/>
            </w:rPr>
            <w:t>Проект, окончательная редакция</w:t>
          </w:r>
          <w:r>
            <w:rPr>
              <w:rFonts w:ascii="Arial" w:hAnsi="Arial" w:cs="Arial"/>
              <w:i/>
              <w:sz w:val="20"/>
            </w:rPr>
            <w:t xml:space="preserve">                                                                                                           </w:t>
          </w:r>
        </w:p>
      </w:tc>
    </w:tr>
  </w:tbl>
  <w:p w14:paraId="6E499B0E" w14:textId="77777777" w:rsidR="00953AD5" w:rsidRDefault="00000000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BC81" w14:textId="77777777" w:rsidR="00953AD5" w:rsidRDefault="00000000">
    <w:pPr>
      <w:pStyle w:val="af2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5553" w14:textId="77777777" w:rsidR="000B731C" w:rsidRDefault="000B731C">
      <w:pPr>
        <w:spacing w:after="0"/>
      </w:pPr>
      <w:r>
        <w:separator/>
      </w:r>
    </w:p>
  </w:footnote>
  <w:footnote w:type="continuationSeparator" w:id="0">
    <w:p w14:paraId="58332C39" w14:textId="77777777" w:rsidR="000B731C" w:rsidRDefault="000B73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AF33" w14:textId="77777777" w:rsidR="00953AD5" w:rsidRDefault="00000000">
    <w:pPr>
      <w:pStyle w:val="af"/>
      <w:rPr>
        <w:rFonts w:ascii="Arial" w:hAnsi="Arial" w:cs="Arial"/>
      </w:rPr>
    </w:pPr>
    <w:r>
      <w:rPr>
        <w:rFonts w:ascii="Arial" w:hAnsi="Arial" w:cs="Arial"/>
      </w:rPr>
      <w:t xml:space="preserve">ГОСТ ISO 13029 </w:t>
    </w: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D8B4" w14:textId="77777777" w:rsidR="00953AD5" w:rsidRDefault="00000000">
    <w:pPr>
      <w:pStyle w:val="af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13029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>, окончательная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A94F" w14:textId="77777777" w:rsidR="00953AD5" w:rsidRDefault="00000000">
    <w:pPr>
      <w:pStyle w:val="af"/>
      <w:rPr>
        <w:rFonts w:ascii="Arial" w:hAnsi="Arial" w:cs="Arial"/>
      </w:rPr>
    </w:pPr>
    <w:r>
      <w:rPr>
        <w:rFonts w:ascii="Arial" w:hAnsi="Arial" w:cs="Arial"/>
      </w:rPr>
      <w:t xml:space="preserve">ГОСТ ISO 13029 </w:t>
    </w: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5977" w14:textId="77777777" w:rsidR="00953AD5" w:rsidRDefault="00000000">
    <w:pPr>
      <w:pStyle w:val="af"/>
      <w:rPr>
        <w:rFonts w:ascii="Arial" w:hAnsi="Arial" w:cs="Arial"/>
      </w:rPr>
    </w:pPr>
    <w:r>
      <w:rPr>
        <w:rFonts w:ascii="Arial" w:hAnsi="Arial" w:cs="Arial"/>
      </w:rPr>
      <w:t xml:space="preserve">ГОСТ ISO 13029 </w:t>
    </w: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588B" w14:textId="77777777" w:rsidR="00953AD5" w:rsidRDefault="00000000">
    <w:pPr>
      <w:tabs>
        <w:tab w:val="center" w:pos="4677"/>
        <w:tab w:val="right" w:pos="9355"/>
      </w:tabs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13029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>, окончательная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322F" w14:textId="77777777" w:rsidR="00953AD5" w:rsidRDefault="00000000">
    <w:pPr>
      <w:tabs>
        <w:tab w:val="center" w:pos="4677"/>
        <w:tab w:val="right" w:pos="9355"/>
      </w:tabs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13029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>,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Letter"/>
      <w:pStyle w:val="a2"/>
      <w:suff w:val="nothing"/>
      <w:lvlText w:val="Приложение %1"/>
      <w:lvlJc w:val="left"/>
      <w:pPr>
        <w:tabs>
          <w:tab w:val="left" w:pos="0"/>
        </w:tabs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left" w:pos="6031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left" w:pos="6391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left" w:pos="6751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6751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left" w:pos="7111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left" w:pos="10711"/>
        </w:tabs>
        <w:ind w:left="9991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left" w:pos="11071"/>
        </w:tabs>
        <w:ind w:left="10711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left" w:pos="11791"/>
        </w:tabs>
        <w:ind w:left="11431" w:firstLine="0"/>
      </w:pPr>
      <w:rPr>
        <w:rFonts w:cs="Times New Roman" w:hint="default"/>
      </w:rPr>
    </w:lvl>
  </w:abstractNum>
  <w:abstractNum w:abstractNumId="2" w15:restartNumberingAfterBreak="0">
    <w:nsid w:val="1CF1715A"/>
    <w:multiLevelType w:val="multilevel"/>
    <w:tmpl w:val="1CF1715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8723999">
    <w:abstractNumId w:val="0"/>
  </w:num>
  <w:num w:numId="2" w16cid:durableId="190607154">
    <w:abstractNumId w:val="1"/>
  </w:num>
  <w:num w:numId="3" w16cid:durableId="1908883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69"/>
    <w:rsid w:val="00001E10"/>
    <w:rsid w:val="000079D1"/>
    <w:rsid w:val="00015F9D"/>
    <w:rsid w:val="000202B1"/>
    <w:rsid w:val="00020B82"/>
    <w:rsid w:val="0002163F"/>
    <w:rsid w:val="000270A4"/>
    <w:rsid w:val="00027847"/>
    <w:rsid w:val="0004791F"/>
    <w:rsid w:val="00056F68"/>
    <w:rsid w:val="00067477"/>
    <w:rsid w:val="000A3849"/>
    <w:rsid w:val="000B731C"/>
    <w:rsid w:val="000C4977"/>
    <w:rsid w:val="000E346C"/>
    <w:rsid w:val="000F166C"/>
    <w:rsid w:val="000F277B"/>
    <w:rsid w:val="00127972"/>
    <w:rsid w:val="00133661"/>
    <w:rsid w:val="0014217D"/>
    <w:rsid w:val="00147E5C"/>
    <w:rsid w:val="001611CA"/>
    <w:rsid w:val="00167076"/>
    <w:rsid w:val="00187E92"/>
    <w:rsid w:val="00193AD5"/>
    <w:rsid w:val="0019423C"/>
    <w:rsid w:val="001A49B8"/>
    <w:rsid w:val="001B3311"/>
    <w:rsid w:val="001D0069"/>
    <w:rsid w:val="001D205C"/>
    <w:rsid w:val="001D3FC5"/>
    <w:rsid w:val="001E3053"/>
    <w:rsid w:val="001E3591"/>
    <w:rsid w:val="001E43BA"/>
    <w:rsid w:val="001F0369"/>
    <w:rsid w:val="001F2075"/>
    <w:rsid w:val="00202B28"/>
    <w:rsid w:val="00207930"/>
    <w:rsid w:val="00234DF2"/>
    <w:rsid w:val="00235D74"/>
    <w:rsid w:val="00254093"/>
    <w:rsid w:val="00266959"/>
    <w:rsid w:val="00267C30"/>
    <w:rsid w:val="00270DC3"/>
    <w:rsid w:val="002873AD"/>
    <w:rsid w:val="00291A25"/>
    <w:rsid w:val="00294176"/>
    <w:rsid w:val="002A2D23"/>
    <w:rsid w:val="002B09ED"/>
    <w:rsid w:val="002E2892"/>
    <w:rsid w:val="00303B75"/>
    <w:rsid w:val="00305CD5"/>
    <w:rsid w:val="00316C05"/>
    <w:rsid w:val="00326747"/>
    <w:rsid w:val="003443B6"/>
    <w:rsid w:val="003A2F66"/>
    <w:rsid w:val="003A6901"/>
    <w:rsid w:val="003D5FC0"/>
    <w:rsid w:val="003E2B13"/>
    <w:rsid w:val="003E623E"/>
    <w:rsid w:val="003F27B9"/>
    <w:rsid w:val="00403D01"/>
    <w:rsid w:val="004064A8"/>
    <w:rsid w:val="00432CB4"/>
    <w:rsid w:val="0043614D"/>
    <w:rsid w:val="00443874"/>
    <w:rsid w:val="004458A0"/>
    <w:rsid w:val="00447B3D"/>
    <w:rsid w:val="00472D62"/>
    <w:rsid w:val="00475300"/>
    <w:rsid w:val="00481A7F"/>
    <w:rsid w:val="0048729C"/>
    <w:rsid w:val="004916BA"/>
    <w:rsid w:val="004A5457"/>
    <w:rsid w:val="004D42A0"/>
    <w:rsid w:val="004D4562"/>
    <w:rsid w:val="004E4BCF"/>
    <w:rsid w:val="004E5450"/>
    <w:rsid w:val="004F2BCD"/>
    <w:rsid w:val="00503575"/>
    <w:rsid w:val="00530929"/>
    <w:rsid w:val="00535ACE"/>
    <w:rsid w:val="00535CAB"/>
    <w:rsid w:val="00543D17"/>
    <w:rsid w:val="005440CD"/>
    <w:rsid w:val="00545FBC"/>
    <w:rsid w:val="005475AA"/>
    <w:rsid w:val="00550753"/>
    <w:rsid w:val="00557A77"/>
    <w:rsid w:val="00570101"/>
    <w:rsid w:val="00574386"/>
    <w:rsid w:val="005929ED"/>
    <w:rsid w:val="005B1B6C"/>
    <w:rsid w:val="005B3831"/>
    <w:rsid w:val="005B7D5A"/>
    <w:rsid w:val="005C3A08"/>
    <w:rsid w:val="005C40E4"/>
    <w:rsid w:val="005C712B"/>
    <w:rsid w:val="005D4294"/>
    <w:rsid w:val="005E67D5"/>
    <w:rsid w:val="00602C58"/>
    <w:rsid w:val="00610F8D"/>
    <w:rsid w:val="00634356"/>
    <w:rsid w:val="006506C9"/>
    <w:rsid w:val="00650F8B"/>
    <w:rsid w:val="00656774"/>
    <w:rsid w:val="00693BBC"/>
    <w:rsid w:val="006A164E"/>
    <w:rsid w:val="006B23B9"/>
    <w:rsid w:val="006B3114"/>
    <w:rsid w:val="006C3731"/>
    <w:rsid w:val="006C5D97"/>
    <w:rsid w:val="006D486D"/>
    <w:rsid w:val="006E5BD0"/>
    <w:rsid w:val="006F054E"/>
    <w:rsid w:val="006F16D9"/>
    <w:rsid w:val="006F201C"/>
    <w:rsid w:val="00705C93"/>
    <w:rsid w:val="007161CE"/>
    <w:rsid w:val="00720214"/>
    <w:rsid w:val="00720F41"/>
    <w:rsid w:val="007331F3"/>
    <w:rsid w:val="00742909"/>
    <w:rsid w:val="00750E3F"/>
    <w:rsid w:val="00760641"/>
    <w:rsid w:val="007862DD"/>
    <w:rsid w:val="007A0945"/>
    <w:rsid w:val="007B1A97"/>
    <w:rsid w:val="007B2FD2"/>
    <w:rsid w:val="007B35DA"/>
    <w:rsid w:val="007C0A4D"/>
    <w:rsid w:val="007C0FE1"/>
    <w:rsid w:val="00807BF1"/>
    <w:rsid w:val="00810801"/>
    <w:rsid w:val="00832854"/>
    <w:rsid w:val="00837A57"/>
    <w:rsid w:val="00841C76"/>
    <w:rsid w:val="00863428"/>
    <w:rsid w:val="00867A75"/>
    <w:rsid w:val="008B3084"/>
    <w:rsid w:val="008B43F1"/>
    <w:rsid w:val="008B778D"/>
    <w:rsid w:val="008B7F11"/>
    <w:rsid w:val="008C08F1"/>
    <w:rsid w:val="008C463E"/>
    <w:rsid w:val="008D2F48"/>
    <w:rsid w:val="008E58E9"/>
    <w:rsid w:val="008E65D5"/>
    <w:rsid w:val="008F2D45"/>
    <w:rsid w:val="00902574"/>
    <w:rsid w:val="00905170"/>
    <w:rsid w:val="00911392"/>
    <w:rsid w:val="00915181"/>
    <w:rsid w:val="00916CC8"/>
    <w:rsid w:val="0092688C"/>
    <w:rsid w:val="00930B5A"/>
    <w:rsid w:val="009340D6"/>
    <w:rsid w:val="00950BAB"/>
    <w:rsid w:val="00953AD5"/>
    <w:rsid w:val="009607D1"/>
    <w:rsid w:val="0096718D"/>
    <w:rsid w:val="00967CCD"/>
    <w:rsid w:val="00976800"/>
    <w:rsid w:val="00990011"/>
    <w:rsid w:val="00992396"/>
    <w:rsid w:val="00994DEC"/>
    <w:rsid w:val="009B3696"/>
    <w:rsid w:val="009B3D0D"/>
    <w:rsid w:val="009C0624"/>
    <w:rsid w:val="009C6482"/>
    <w:rsid w:val="009D174A"/>
    <w:rsid w:val="009F14EA"/>
    <w:rsid w:val="00A11713"/>
    <w:rsid w:val="00A17E30"/>
    <w:rsid w:val="00A2375A"/>
    <w:rsid w:val="00A32016"/>
    <w:rsid w:val="00A36D0E"/>
    <w:rsid w:val="00A50CF0"/>
    <w:rsid w:val="00A93156"/>
    <w:rsid w:val="00A93619"/>
    <w:rsid w:val="00A9382A"/>
    <w:rsid w:val="00AB1590"/>
    <w:rsid w:val="00AB29B5"/>
    <w:rsid w:val="00AB3AB1"/>
    <w:rsid w:val="00AC6EC2"/>
    <w:rsid w:val="00AC721B"/>
    <w:rsid w:val="00AE1F3B"/>
    <w:rsid w:val="00AF3774"/>
    <w:rsid w:val="00AF66DD"/>
    <w:rsid w:val="00B06356"/>
    <w:rsid w:val="00B204D2"/>
    <w:rsid w:val="00B27A53"/>
    <w:rsid w:val="00B45B9D"/>
    <w:rsid w:val="00B50E6E"/>
    <w:rsid w:val="00B617AA"/>
    <w:rsid w:val="00BB4379"/>
    <w:rsid w:val="00BC42C2"/>
    <w:rsid w:val="00BD1E74"/>
    <w:rsid w:val="00BF3138"/>
    <w:rsid w:val="00C00B53"/>
    <w:rsid w:val="00C056C1"/>
    <w:rsid w:val="00C21341"/>
    <w:rsid w:val="00C2500B"/>
    <w:rsid w:val="00C31980"/>
    <w:rsid w:val="00C54500"/>
    <w:rsid w:val="00C9115E"/>
    <w:rsid w:val="00C91366"/>
    <w:rsid w:val="00CD2132"/>
    <w:rsid w:val="00CD7298"/>
    <w:rsid w:val="00CE2CE6"/>
    <w:rsid w:val="00CE72D3"/>
    <w:rsid w:val="00CF136A"/>
    <w:rsid w:val="00D015AD"/>
    <w:rsid w:val="00D12DCB"/>
    <w:rsid w:val="00D16874"/>
    <w:rsid w:val="00D303A7"/>
    <w:rsid w:val="00D3496C"/>
    <w:rsid w:val="00D42EE5"/>
    <w:rsid w:val="00D4529A"/>
    <w:rsid w:val="00D55E04"/>
    <w:rsid w:val="00D61ABA"/>
    <w:rsid w:val="00D86742"/>
    <w:rsid w:val="00D957F4"/>
    <w:rsid w:val="00D97E05"/>
    <w:rsid w:val="00DA11EA"/>
    <w:rsid w:val="00DA40FC"/>
    <w:rsid w:val="00E1218C"/>
    <w:rsid w:val="00E32E4A"/>
    <w:rsid w:val="00E342FD"/>
    <w:rsid w:val="00E40735"/>
    <w:rsid w:val="00E70F88"/>
    <w:rsid w:val="00E7294A"/>
    <w:rsid w:val="00E74FDD"/>
    <w:rsid w:val="00E76606"/>
    <w:rsid w:val="00E8005A"/>
    <w:rsid w:val="00EA55E8"/>
    <w:rsid w:val="00ED2041"/>
    <w:rsid w:val="00ED32E3"/>
    <w:rsid w:val="00ED463F"/>
    <w:rsid w:val="00EF6BDD"/>
    <w:rsid w:val="00F05608"/>
    <w:rsid w:val="00F21AA5"/>
    <w:rsid w:val="00F2430F"/>
    <w:rsid w:val="00F2636B"/>
    <w:rsid w:val="00F26FE2"/>
    <w:rsid w:val="00F42F77"/>
    <w:rsid w:val="00F7131E"/>
    <w:rsid w:val="00FA57A4"/>
    <w:rsid w:val="00FA6745"/>
    <w:rsid w:val="00FB3CD2"/>
    <w:rsid w:val="00FC1BF1"/>
    <w:rsid w:val="00FD14E0"/>
    <w:rsid w:val="00FD27F6"/>
    <w:rsid w:val="00FD4E12"/>
    <w:rsid w:val="00FF74DD"/>
    <w:rsid w:val="40FB31AB"/>
    <w:rsid w:val="6AD41F2D"/>
    <w:rsid w:val="6AD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A66368F"/>
  <w15:docId w15:val="{46B52105-ADCF-4760-A75F-052C9EC2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 w:qFormat="1"/>
    <w:lsdException w:name="head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rPr>
      <w:rFonts w:cs="Times New Roman"/>
      <w:color w:val="0000FF"/>
      <w:u w:val="singl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annotation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annotation subject"/>
    <w:basedOn w:val="1"/>
    <w:next w:val="1"/>
    <w:qFormat/>
    <w:rPr>
      <w:b/>
      <w:bCs/>
    </w:rPr>
  </w:style>
  <w:style w:type="paragraph" w:customStyle="1" w:styleId="1">
    <w:name w:val="Текст примечания1"/>
    <w:basedOn w:val="a"/>
    <w:rPr>
      <w:sz w:val="20"/>
      <w:szCs w:val="20"/>
    </w:rPr>
  </w:style>
  <w:style w:type="paragraph" w:styleId="ae">
    <w:name w:val="footnote text"/>
    <w:basedOn w:val="a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qFormat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f1">
    <w:name w:val="Title"/>
    <w:basedOn w:val="a"/>
    <w:next w:val="a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List"/>
    <w:basedOn w:val="af0"/>
    <w:rPr>
      <w:rFonts w:cs="Arial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  <w:qFormat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  <w:rPr>
      <w:rFonts w:ascii="Arial" w:hAnsi="Arial" w:cs="Times New Roman" w:hint="default"/>
      <w:b/>
      <w:sz w:val="28"/>
    </w:rPr>
  </w:style>
  <w:style w:type="character" w:customStyle="1" w:styleId="WW8Num2z1">
    <w:name w:val="WW8Num2z1"/>
    <w:qFormat/>
    <w:rPr>
      <w:rFonts w:cs="Times New Roman" w:hint="default"/>
      <w:b/>
    </w:rPr>
  </w:style>
  <w:style w:type="character" w:customStyle="1" w:styleId="WW8Num2z6">
    <w:name w:val="WW8Num2z6"/>
    <w:rPr>
      <w:rFonts w:cs="Times New Roman" w:hint="default"/>
    </w:rPr>
  </w:style>
  <w:style w:type="character" w:customStyle="1" w:styleId="10">
    <w:name w:val="Основной шрифт абзаца1"/>
  </w:style>
  <w:style w:type="character" w:customStyle="1" w:styleId="11">
    <w:name w:val="Номер страницы1"/>
    <w:qFormat/>
    <w:rPr>
      <w:rFonts w:cs="Times New Roman"/>
    </w:rPr>
  </w:style>
  <w:style w:type="character" w:customStyle="1" w:styleId="ListLabel25">
    <w:name w:val="ListLabel 25"/>
    <w:qFormat/>
    <w:rPr>
      <w:rFonts w:ascii="Arial" w:hAnsi="Arial" w:cs="Arial"/>
      <w:color w:val="0000FF"/>
      <w:sz w:val="24"/>
      <w:u w:val="single"/>
      <w:lang w:val="ru-RU"/>
    </w:rPr>
  </w:style>
  <w:style w:type="character" w:customStyle="1" w:styleId="af5">
    <w:name w:val="Основной текст Знак"/>
    <w:rPr>
      <w:rFonts w:ascii="Verdana" w:hAnsi="Verdana" w:cs="Verdana"/>
      <w:kern w:val="2"/>
      <w:lang w:val="ru-RU" w:bidi="ar-SA"/>
    </w:rPr>
  </w:style>
  <w:style w:type="character" w:customStyle="1" w:styleId="af6">
    <w:name w:val="Верхний колонтитул Знак"/>
    <w:rPr>
      <w:rFonts w:ascii="Calibri" w:hAnsi="Calibri" w:cs="Calibri"/>
      <w:kern w:val="2"/>
      <w:sz w:val="22"/>
      <w:szCs w:val="22"/>
      <w:lang w:val="ru-RU" w:bidi="ar-SA"/>
    </w:rPr>
  </w:style>
  <w:style w:type="character" w:customStyle="1" w:styleId="af7">
    <w:name w:val="Нижний колонтитул Знак"/>
    <w:uiPriority w:val="99"/>
    <w:qFormat/>
    <w:rPr>
      <w:rFonts w:ascii="Calibri" w:hAnsi="Calibri" w:cs="Calibri"/>
      <w:kern w:val="2"/>
      <w:sz w:val="22"/>
      <w:szCs w:val="22"/>
      <w:lang w:val="ru-RU" w:bidi="ar-SA"/>
    </w:rPr>
  </w:style>
  <w:style w:type="character" w:customStyle="1" w:styleId="af8">
    <w:name w:val="Символ сноски"/>
    <w:rPr>
      <w:vertAlign w:val="superscript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  <w:qFormat/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customStyle="1" w:styleId="FORMATTEXT">
    <w:name w:val=".FORMATTEXT"/>
    <w:uiPriority w:val="99"/>
    <w:qFormat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af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FR1">
    <w:name w:val="FR1"/>
    <w:qFormat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">
    <w:name w:val="Основной текст 21"/>
    <w:basedOn w:val="a"/>
    <w:qFormat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1ZagL1">
    <w:name w:val="1_Zag_L1"/>
    <w:next w:val="a"/>
    <w:qFormat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pPr>
      <w:numPr>
        <w:ilvl w:val="0"/>
        <w:numId w:val="2"/>
      </w:numPr>
      <w:tabs>
        <w:tab w:val="left" w:pos="500"/>
        <w:tab w:val="left" w:pos="540"/>
        <w:tab w:val="left" w:pos="720"/>
      </w:tabs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qFormat/>
    <w:pPr>
      <w:numPr>
        <w:ilvl w:val="0"/>
        <w:numId w:val="0"/>
      </w:numPr>
      <w:tabs>
        <w:tab w:val="left" w:pos="640"/>
        <w:tab w:val="left" w:pos="720"/>
        <w:tab w:val="left" w:pos="880"/>
      </w:tabs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qFormat/>
    <w:pPr>
      <w:numPr>
        <w:ilvl w:val="0"/>
        <w:numId w:val="0"/>
      </w:numPr>
      <w:tabs>
        <w:tab w:val="left" w:pos="880"/>
        <w:tab w:val="left" w:pos="1080"/>
        <w:tab w:val="left" w:pos="1140"/>
        <w:tab w:val="left" w:pos="1360"/>
      </w:tabs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pPr>
      <w:keepNext/>
      <w:numPr>
        <w:ilvl w:val="0"/>
        <w:numId w:val="0"/>
      </w:numPr>
      <w:tabs>
        <w:tab w:val="left" w:pos="1080"/>
        <w:tab w:val="left" w:pos="1140"/>
        <w:tab w:val="left" w:pos="1360"/>
      </w:tabs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pPr>
      <w:keepNext/>
      <w:numPr>
        <w:ilvl w:val="0"/>
        <w:numId w:val="0"/>
      </w:numPr>
      <w:tabs>
        <w:tab w:val="left" w:pos="1140"/>
        <w:tab w:val="left" w:pos="1360"/>
        <w:tab w:val="left" w:pos="1440"/>
      </w:tabs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left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1OsnAbz">
    <w:name w:val="1_Osn_Abz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character" w:customStyle="1" w:styleId="ac">
    <w:name w:val="Текст примечания Знак"/>
    <w:link w:val="ab"/>
    <w:uiPriority w:val="99"/>
    <w:semiHidden/>
    <w:rPr>
      <w:rFonts w:ascii="Calibri" w:hAnsi="Calibri" w:cs="Calibri"/>
      <w:kern w:val="2"/>
      <w:lang w:eastAsia="zh-CN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headertext0">
    <w:name w:val="headertext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character" w:customStyle="1" w:styleId="match">
    <w:name w:val="match"/>
    <w:basedOn w:val="a0"/>
    <w:qFormat/>
  </w:style>
  <w:style w:type="paragraph" w:customStyle="1" w:styleId="14">
    <w:name w:val="Рецензия1"/>
    <w:hidden/>
    <w:uiPriority w:val="99"/>
    <w:semiHidden/>
    <w:qFormat/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1200114290&amp;point=mark=000000000000000000000000000000000000000000000000008PM0LV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64F550-61EC-4665-BA4A-D667A2B32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2703</Words>
  <Characters>15409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</dc:title>
  <dc:creator>Перова</dc:creator>
  <cp:lastModifiedBy>5 msoft5ksm</cp:lastModifiedBy>
  <cp:revision>2</cp:revision>
  <cp:lastPrinted>2021-09-15T14:13:00Z</cp:lastPrinted>
  <dcterms:created xsi:type="dcterms:W3CDTF">2026-04-27T10:24:00Z</dcterms:created>
  <dcterms:modified xsi:type="dcterms:W3CDTF">2026-04-27T10:24:00Z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CD6609DF09D1442CA46A8A3A4B2B4DD8_12</vt:lpwstr>
  </property>
</Properties>
</file>