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7" w:rsidRPr="00440160" w:rsidRDefault="00A62FF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bookmarkStart w:id="0" w:name="_GoBack"/>
      <w:bookmarkEnd w:id="0"/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</w:rPr>
        <w:t>ЕВРАЗИЙСКИЙ СОВЕТ ПО СТАНДАРТИЗАЦИИ, МЕТРОЛОГИИ И СЕРТИФИКАЦИИ</w:t>
      </w:r>
    </w:p>
    <w:p w:rsidR="00D50A97" w:rsidRPr="00440160" w:rsidRDefault="00A62FF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(EACC)</w:t>
      </w:r>
    </w:p>
    <w:p w:rsidR="00D50A97" w:rsidRPr="00440160" w:rsidRDefault="00D50A9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en-US"/>
        </w:rPr>
      </w:pPr>
    </w:p>
    <w:p w:rsidR="00D50A97" w:rsidRPr="00440160" w:rsidRDefault="00A62FF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EURO-ASIAN COUNCIL FOR STANDARDIZATION, METROLOGY AND CERTIFICATION</w:t>
      </w:r>
    </w:p>
    <w:p w:rsidR="00D50A97" w:rsidRPr="00440160" w:rsidRDefault="00A62FF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(EASC)</w:t>
      </w:r>
    </w:p>
    <w:p w:rsidR="00D50A97" w:rsidRPr="00440160" w:rsidRDefault="00A62FF6">
      <w:pPr>
        <w:widowControl/>
        <w:suppressAutoHyphens w:val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440160">
        <w:rPr>
          <w:rFonts w:ascii="Times New Roman" w:hAnsi="Times New Roman" w:cs="Times New Roman"/>
          <w:spacing w:val="-20"/>
          <w:sz w:val="24"/>
          <w:szCs w:val="24"/>
        </w:rPr>
        <w:t>------------------------------------------------------------------------------------------------------------------------------------------------------------</w:t>
      </w:r>
    </w:p>
    <w:tbl>
      <w:tblPr>
        <w:tblStyle w:val="TableNormal"/>
        <w:tblW w:w="86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3"/>
        <w:gridCol w:w="4854"/>
        <w:gridCol w:w="1382"/>
      </w:tblGrid>
      <w:tr w:rsidR="00D50A97">
        <w:trPr>
          <w:trHeight w:val="1848"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A62FF6"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61302" cy="1034416"/>
                  <wp:effectExtent l="0" t="0" r="0" b="0"/>
                  <wp:docPr id="1073741825" name="officeArt object" descr="C:\Виктория\Стандарт по дикой природе\ЕАСС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Виктория\Стандарт по дикой природе\ЕАСС.png" descr="C:\Виктория\Стандарт по дикой природе\ЕАСС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302" cy="10344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50A97" w:rsidRDefault="00A62FF6">
            <w:pPr>
              <w:pStyle w:val="1"/>
              <w:widowControl/>
              <w:suppressAutoHyphens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50"/>
                <w:sz w:val="28"/>
                <w:szCs w:val="28"/>
              </w:rPr>
              <w:t>МЕЖГОСУДАРСТВЕННЫЙ</w:t>
            </w:r>
          </w:p>
          <w:p w:rsidR="00D50A97" w:rsidRDefault="00A62FF6">
            <w:pPr>
              <w:pStyle w:val="1"/>
              <w:widowControl/>
              <w:suppressAutoHyphens w:val="0"/>
              <w:spacing w:line="360" w:lineRule="auto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50A97" w:rsidRDefault="00A6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ГОСТ</w:t>
            </w:r>
          </w:p>
          <w:p w:rsidR="00D50A97" w:rsidRDefault="00A6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D50A97" w:rsidRDefault="00A31BDF" w:rsidP="00A31BDF">
            <w:pPr>
              <w:tabs>
                <w:tab w:val="center" w:pos="611"/>
              </w:tabs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ab/>
              <w:t>редакция</w:t>
            </w:r>
          </w:p>
        </w:tc>
      </w:tr>
    </w:tbl>
    <w:p w:rsidR="00D50A97" w:rsidRDefault="00D50A97">
      <w:pPr>
        <w:pBdr>
          <w:bottom w:val="single" w:sz="16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B81196" w:rsidRDefault="00A62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СУДЕБНАЯ МОЛЕКУЛЯРНО-ГЕНЕТИЧЕСКАЯ ЭКСПЕРТИЗА ОБЪЕКТОВ ДИКОЙ ФЛОРЫ И ФАУНЫ</w:t>
      </w:r>
    </w:p>
    <w:p w:rsidR="00D50A97" w:rsidRPr="00B81196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B81196" w:rsidRDefault="00A62F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D50A97" w:rsidRPr="00B81196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B81196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B81196" w:rsidRDefault="00A62F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Издание официальное</w:t>
      </w: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Default="00D50A97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A62FF6" w:rsidP="00B811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196">
        <w:rPr>
          <w:rFonts w:ascii="Times New Roman" w:hAnsi="Times New Roman" w:cs="Times New Roman"/>
          <w:b/>
          <w:bCs/>
          <w:sz w:val="24"/>
          <w:szCs w:val="24"/>
        </w:rPr>
        <w:t>Минск</w:t>
      </w:r>
    </w:p>
    <w:p w:rsidR="00D50A97" w:rsidRPr="00B81196" w:rsidRDefault="00A62FF6" w:rsidP="00B811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196">
        <w:rPr>
          <w:rFonts w:ascii="Times New Roman" w:hAnsi="Times New Roman" w:cs="Times New Roman"/>
          <w:b/>
          <w:bCs/>
          <w:sz w:val="24"/>
          <w:szCs w:val="24"/>
        </w:rPr>
        <w:t>Евразийский совет по стандартизации, метрологии и сертификации</w:t>
      </w:r>
    </w:p>
    <w:p w:rsidR="00D50A97" w:rsidRPr="00B81196" w:rsidRDefault="00A62FF6" w:rsidP="00B811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196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D50A97" w:rsidRDefault="00D50A97">
      <w:pPr>
        <w:jc w:val="center"/>
        <w:sectPr w:rsidR="00D50A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1" w:bottom="1134" w:left="1701" w:header="709" w:footer="117" w:gutter="0"/>
          <w:pgNumType w:start="2"/>
          <w:cols w:space="720"/>
          <w:titlePg/>
        </w:sectPr>
      </w:pPr>
    </w:p>
    <w:p w:rsidR="00D50A97" w:rsidRPr="00B81196" w:rsidRDefault="00A62FF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Предисловие</w:t>
      </w:r>
    </w:p>
    <w:p w:rsidR="00D50A97" w:rsidRPr="00B81196" w:rsidRDefault="00A62FF6" w:rsidP="00B81196">
      <w:pPr>
        <w:pStyle w:val="21"/>
        <w:shd w:val="clear" w:color="auto" w:fill="auto"/>
        <w:spacing w:before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D50A97" w:rsidRPr="00B81196" w:rsidRDefault="00A62FF6" w:rsidP="00B81196">
      <w:pPr>
        <w:pStyle w:val="21"/>
        <w:shd w:val="clear" w:color="auto" w:fill="auto"/>
        <w:spacing w:before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Цели, основные принципы и общие правила проведения работ по межгосударственной стандартизации установлены ГОСТ 1.0–2015 «Межгосударственная система стандартизации. Основные положения» и ГОСТ 1.2–2015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отмены».</w:t>
      </w:r>
    </w:p>
    <w:p w:rsidR="00D50A97" w:rsidRPr="00440160" w:rsidRDefault="00A62FF6" w:rsidP="00B81196">
      <w:pPr>
        <w:widowControl/>
        <w:suppressAutoHyphens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0160">
        <w:rPr>
          <w:rFonts w:ascii="Times New Roman" w:hAnsi="Times New Roman" w:cs="Times New Roman"/>
          <w:b/>
          <w:bCs/>
          <w:sz w:val="28"/>
          <w:szCs w:val="28"/>
        </w:rPr>
        <w:t>Сведения о стандарте</w:t>
      </w:r>
    </w:p>
    <w:p w:rsidR="00D50A97" w:rsidRPr="00B81196" w:rsidRDefault="00A62FF6" w:rsidP="00B81196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1  РАЗРАБОТАН Федеральным бюджетным учреждением "Российский федеральный центр судебной экспертизы при Министерстве юстиции Российской Федерации" совместно с Федеральным государственным бюджетным учреждением "Российский центр судебно-медицинской экспертизы" Министерства здравоохранения Российской Федерации, Следственным комитетом Российской Федерации, Федеральным государственным казенным учреждением "Экспертно-криминалистический центр Министерства внутренних дел Р</w:t>
      </w:r>
      <w:r w:rsidR="00154A3B">
        <w:rPr>
          <w:rFonts w:ascii="Times New Roman" w:hAnsi="Times New Roman" w:cs="Times New Roman"/>
          <w:sz w:val="28"/>
          <w:szCs w:val="28"/>
        </w:rPr>
        <w:t>оссийской Федерации"</w:t>
      </w:r>
      <w:r w:rsidRPr="00B81196">
        <w:rPr>
          <w:rFonts w:ascii="Times New Roman" w:hAnsi="Times New Roman" w:cs="Times New Roman"/>
          <w:sz w:val="28"/>
          <w:szCs w:val="28"/>
        </w:rPr>
        <w:t>.</w:t>
      </w:r>
    </w:p>
    <w:p w:rsidR="00D50A97" w:rsidRPr="00B81196" w:rsidRDefault="00A62FF6" w:rsidP="00B81196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2  </w:t>
      </w:r>
      <w:proofErr w:type="gramStart"/>
      <w:r w:rsidRPr="00B81196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B81196">
        <w:rPr>
          <w:rFonts w:ascii="Times New Roman" w:hAnsi="Times New Roman" w:cs="Times New Roman"/>
          <w:sz w:val="28"/>
          <w:szCs w:val="28"/>
        </w:rPr>
        <w:t xml:space="preserve"> Техническим комитетом МТК 545 «Судебная экспертиза».</w:t>
      </w:r>
    </w:p>
    <w:p w:rsidR="00D50A97" w:rsidRPr="00B81196" w:rsidRDefault="00A62FF6" w:rsidP="00B81196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3  </w:t>
      </w:r>
      <w:proofErr w:type="gramStart"/>
      <w:r w:rsidRPr="00B8119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81196">
        <w:rPr>
          <w:rFonts w:ascii="Times New Roman" w:hAnsi="Times New Roman" w:cs="Times New Roman"/>
          <w:sz w:val="28"/>
          <w:szCs w:val="28"/>
        </w:rPr>
        <w:t xml:space="preserve"> Межгосударственным советом по стандартизации, метрологии и сертификации.</w:t>
      </w:r>
    </w:p>
    <w:p w:rsidR="00D50A97" w:rsidRPr="00B81196" w:rsidRDefault="00A62FF6" w:rsidP="00B81196">
      <w:pPr>
        <w:widowControl/>
        <w:suppressAutoHyphens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За принятие проголосовали: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3168"/>
        <w:gridCol w:w="3170"/>
        <w:gridCol w:w="3170"/>
      </w:tblGrid>
      <w:tr w:rsidR="00D50A97" w:rsidTr="00440160">
        <w:trPr>
          <w:trHeight w:val="953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A62FF6">
            <w:pPr>
              <w:widowControl/>
              <w:suppressAutoHyphens w:val="0"/>
              <w:spacing w:before="100" w:after="10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наименование страны по </w:t>
            </w:r>
            <w:hyperlink r:id="rId16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МК (ИСО 3166) 004-97</w:t>
              </w:r>
            </w:hyperlink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A62FF6">
            <w:pPr>
              <w:widowControl/>
              <w:suppressAutoHyphens w:val="0"/>
              <w:spacing w:before="100" w:after="100"/>
              <w:jc w:val="center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Код страны </w:t>
            </w:r>
            <w:r>
              <w:rPr>
                <w:rStyle w:val="None"/>
                <w:rFonts w:ascii="Arial Unicode MS" w:eastAsia="Arial Unicode MS" w:hAnsi="Arial Unicode MS" w:cs="Arial Unicode MS"/>
                <w:sz w:val="28"/>
                <w:szCs w:val="28"/>
              </w:rPr>
              <w:br/>
            </w: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7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МК (ИСО 3166) 004-97</w:t>
              </w:r>
            </w:hyperlink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A62FF6">
            <w:pPr>
              <w:widowControl/>
              <w:suppressAutoHyphens w:val="0"/>
              <w:spacing w:before="100" w:after="100"/>
              <w:jc w:val="center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Сокращенное наименование национального органа по стандартизации </w:t>
            </w:r>
          </w:p>
        </w:tc>
      </w:tr>
      <w:tr w:rsidR="00D50A97" w:rsidTr="00440160">
        <w:trPr>
          <w:trHeight w:val="32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</w:tr>
      <w:tr w:rsidR="00D50A97" w:rsidTr="00440160">
        <w:trPr>
          <w:trHeight w:val="321"/>
        </w:trPr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</w:tr>
    </w:tbl>
    <w:p w:rsidR="00D50A97" w:rsidRPr="00B81196" w:rsidRDefault="00A62FF6">
      <w:pPr>
        <w:widowControl/>
        <w:suppressAutoHyphens w:val="0"/>
        <w:ind w:firstLine="709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>4  ВВЕДЕН ВПЕРВЫЕ.</w:t>
      </w:r>
    </w:p>
    <w:p w:rsidR="00D50A97" w:rsidRPr="00B81196" w:rsidRDefault="00A62FF6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 xml:space="preserve">5  В настоящем стандарте реализованы положения национального стандарта ГОСТ </w:t>
      </w:r>
      <w:proofErr w:type="gramStart"/>
      <w:r w:rsidRPr="00B81196">
        <w:rPr>
          <w:rStyle w:val="None"/>
          <w:rFonts w:ascii="Times New Roman" w:hAnsi="Times New Roman" w:cs="Times New Roman"/>
          <w:sz w:val="28"/>
          <w:szCs w:val="28"/>
        </w:rPr>
        <w:t>Р</w:t>
      </w:r>
      <w:proofErr w:type="gramEnd"/>
      <w:r w:rsidRPr="00B81196">
        <w:rPr>
          <w:rStyle w:val="None"/>
          <w:rFonts w:ascii="Times New Roman" w:hAnsi="Times New Roman" w:cs="Times New Roman"/>
          <w:sz w:val="28"/>
          <w:szCs w:val="28"/>
        </w:rPr>
        <w:t xml:space="preserve"> 57343-2016 «Судебная молекулярно-генетическая экспертиза. Термины и определения».</w:t>
      </w:r>
    </w:p>
    <w:p w:rsidR="00D50A97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A62FF6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i/>
          <w:iCs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:rsidR="00D50A97" w:rsidRPr="00B81196" w:rsidRDefault="00A62FF6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i/>
          <w:iCs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Информация об изменениях к настоящему стандарту публикуется в указателе (каталоге) «Межгосударственные стандарты», а текст этих изменений –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«Межгосударственные стандарты».</w:t>
      </w: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50A97" w:rsidRPr="00B81196" w:rsidRDefault="00A62FF6">
      <w:pPr>
        <w:spacing w:line="360" w:lineRule="auto"/>
        <w:ind w:right="26" w:firstLine="600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B81196">
        <w:rPr>
          <w:rStyle w:val="None"/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B81196">
        <w:rPr>
          <w:rStyle w:val="None"/>
          <w:rFonts w:ascii="Times New Roman" w:hAnsi="Times New Roman" w:cs="Times New Roman"/>
          <w:sz w:val="28"/>
          <w:szCs w:val="28"/>
        </w:rPr>
        <w:t>инадлежит национальным (государственным) органам по стандартизации этих государств.</w:t>
      </w:r>
    </w:p>
    <w:p w:rsidR="00D50A97" w:rsidRDefault="00A62FF6">
      <w:pPr>
        <w:widowControl/>
        <w:suppressAutoHyphens w:val="0"/>
      </w:pPr>
      <w:r>
        <w:rPr>
          <w:rStyle w:val="None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D50A97" w:rsidRDefault="00D50A97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D50A97" w:rsidRPr="00B81196" w:rsidRDefault="00A62FF6">
      <w:pPr>
        <w:spacing w:after="120"/>
        <w:rPr>
          <w:rStyle w:val="None"/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50A97" w:rsidRPr="00CC35A2" w:rsidRDefault="00A62FF6">
      <w:pPr>
        <w:widowControl/>
        <w:numPr>
          <w:ilvl w:val="0"/>
          <w:numId w:val="2"/>
        </w:numPr>
        <w:suppressAutoHyphens w:val="0"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CC35A2">
        <w:rPr>
          <w:rStyle w:val="None"/>
          <w:rFonts w:ascii="Times New Roman" w:hAnsi="Times New Roman" w:cs="Times New Roman"/>
          <w:sz w:val="28"/>
          <w:szCs w:val="28"/>
        </w:rPr>
        <w:t>Область применения</w:t>
      </w:r>
      <w:r w:rsidRPr="00CC35A2">
        <w:rPr>
          <w:rStyle w:val="None"/>
          <w:rFonts w:ascii="Times New Roman" w:hAnsi="Times New Roman" w:cs="Times New Roman"/>
          <w:sz w:val="28"/>
          <w:szCs w:val="28"/>
        </w:rPr>
        <w:tab/>
      </w:r>
      <w:r w:rsidR="00E11437" w:rsidRPr="00CC35A2">
        <w:rPr>
          <w:rStyle w:val="None"/>
          <w:rFonts w:ascii="Times New Roman" w:hAnsi="Times New Roman" w:cs="Times New Roman"/>
          <w:sz w:val="28"/>
          <w:szCs w:val="28"/>
        </w:rPr>
        <w:t>1</w:t>
      </w:r>
    </w:p>
    <w:p w:rsidR="00D50A97" w:rsidRPr="00CC35A2" w:rsidRDefault="00A62FF6">
      <w:pPr>
        <w:widowControl/>
        <w:numPr>
          <w:ilvl w:val="0"/>
          <w:numId w:val="3"/>
        </w:numPr>
        <w:suppressAutoHyphens w:val="0"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CC35A2">
        <w:rPr>
          <w:rStyle w:val="None"/>
          <w:rFonts w:ascii="Times New Roman" w:hAnsi="Times New Roman" w:cs="Times New Roman"/>
          <w:sz w:val="28"/>
          <w:szCs w:val="28"/>
        </w:rPr>
        <w:t>Термины и определения</w:t>
      </w:r>
      <w:r w:rsidRPr="00CC35A2">
        <w:rPr>
          <w:rStyle w:val="None"/>
          <w:rFonts w:ascii="Times New Roman" w:hAnsi="Times New Roman" w:cs="Times New Roman"/>
          <w:sz w:val="28"/>
          <w:szCs w:val="28"/>
        </w:rPr>
        <w:tab/>
      </w:r>
      <w:r w:rsidR="00E11437" w:rsidRPr="00CC35A2">
        <w:rPr>
          <w:rStyle w:val="None"/>
          <w:rFonts w:ascii="Times New Roman" w:hAnsi="Times New Roman" w:cs="Times New Roman"/>
          <w:sz w:val="28"/>
          <w:szCs w:val="28"/>
        </w:rPr>
        <w:t>2</w:t>
      </w:r>
    </w:p>
    <w:p w:rsidR="00D50A97" w:rsidRPr="00731463" w:rsidRDefault="00A62FF6">
      <w:pPr>
        <w:widowControl/>
        <w:tabs>
          <w:tab w:val="left" w:pos="516"/>
          <w:tab w:val="left" w:leader="dot" w:pos="8789"/>
          <w:tab w:val="left" w:leader="dot" w:pos="8848"/>
        </w:tabs>
        <w:suppressAutoHyphens w:val="0"/>
        <w:spacing w:line="326" w:lineRule="exact"/>
        <w:ind w:left="220"/>
        <w:rPr>
          <w:rStyle w:val="None"/>
          <w:rFonts w:ascii="Times New Roman" w:hAnsi="Times New Roman" w:cs="Times New Roman"/>
          <w:sz w:val="28"/>
          <w:szCs w:val="28"/>
        </w:rPr>
      </w:pPr>
      <w:r w:rsidRPr="00CC35A2">
        <w:rPr>
          <w:rStyle w:val="None"/>
          <w:rFonts w:ascii="Times New Roman" w:hAnsi="Times New Roman" w:cs="Times New Roman"/>
          <w:sz w:val="28"/>
          <w:szCs w:val="28"/>
        </w:rPr>
        <w:t>Алфавитный указатель терминов на русском языке</w:t>
      </w:r>
      <w:r w:rsidRPr="00CC35A2">
        <w:rPr>
          <w:rStyle w:val="None"/>
          <w:rFonts w:ascii="Times New Roman" w:hAnsi="Times New Roman" w:cs="Times New Roman"/>
          <w:sz w:val="28"/>
          <w:szCs w:val="28"/>
        </w:rPr>
        <w:tab/>
      </w:r>
      <w:r w:rsidR="00E11437" w:rsidRPr="00731463">
        <w:rPr>
          <w:rStyle w:val="None"/>
          <w:rFonts w:ascii="Times New Roman" w:hAnsi="Times New Roman" w:cs="Times New Roman"/>
          <w:sz w:val="28"/>
          <w:szCs w:val="28"/>
        </w:rPr>
        <w:t>1</w:t>
      </w:r>
      <w:r w:rsidR="00731463" w:rsidRPr="00731463">
        <w:rPr>
          <w:rStyle w:val="None"/>
          <w:rFonts w:ascii="Times New Roman" w:hAnsi="Times New Roman" w:cs="Times New Roman"/>
          <w:sz w:val="28"/>
          <w:szCs w:val="28"/>
        </w:rPr>
        <w:t>2</w:t>
      </w:r>
    </w:p>
    <w:p w:rsidR="00D50A97" w:rsidRPr="00B81196" w:rsidRDefault="00A62FF6">
      <w:pPr>
        <w:widowControl/>
        <w:tabs>
          <w:tab w:val="left" w:pos="516"/>
          <w:tab w:val="left" w:leader="dot" w:pos="8789"/>
          <w:tab w:val="left" w:leader="dot" w:pos="8848"/>
        </w:tabs>
        <w:suppressAutoHyphens w:val="0"/>
        <w:spacing w:line="326" w:lineRule="exact"/>
        <w:ind w:left="220"/>
        <w:rPr>
          <w:rStyle w:val="None"/>
          <w:rFonts w:ascii="Times New Roman" w:hAnsi="Times New Roman" w:cs="Times New Roman"/>
          <w:sz w:val="28"/>
          <w:szCs w:val="28"/>
        </w:rPr>
      </w:pPr>
      <w:r w:rsidRPr="00731463">
        <w:rPr>
          <w:rStyle w:val="None"/>
          <w:rFonts w:ascii="Times New Roman" w:hAnsi="Times New Roman" w:cs="Times New Roman"/>
          <w:sz w:val="28"/>
          <w:szCs w:val="28"/>
        </w:rPr>
        <w:t>Алфавитный указатель эквивалентов терминов на английском языке</w:t>
      </w:r>
      <w:r w:rsidRPr="00731463">
        <w:rPr>
          <w:rStyle w:val="None"/>
          <w:rFonts w:ascii="Times New Roman" w:hAnsi="Times New Roman" w:cs="Times New Roman"/>
          <w:sz w:val="28"/>
          <w:szCs w:val="28"/>
        </w:rPr>
        <w:tab/>
      </w:r>
      <w:r w:rsidR="00E11437" w:rsidRPr="00731463">
        <w:rPr>
          <w:rStyle w:val="None"/>
          <w:rFonts w:ascii="Times New Roman" w:hAnsi="Times New Roman" w:cs="Times New Roman"/>
          <w:sz w:val="28"/>
          <w:szCs w:val="28"/>
        </w:rPr>
        <w:t>1</w:t>
      </w:r>
      <w:r w:rsidR="00731463" w:rsidRPr="00731463">
        <w:rPr>
          <w:rStyle w:val="None"/>
          <w:rFonts w:ascii="Times New Roman" w:hAnsi="Times New Roman" w:cs="Times New Roman"/>
          <w:sz w:val="28"/>
          <w:szCs w:val="28"/>
        </w:rPr>
        <w:t>5</w:t>
      </w:r>
    </w:p>
    <w:p w:rsidR="00D50A97" w:rsidRPr="00B81196" w:rsidRDefault="00D50A97">
      <w:pPr>
        <w:widowControl/>
        <w:suppressAutoHyphens w:val="0"/>
        <w:rPr>
          <w:rFonts w:ascii="Times New Roman" w:hAnsi="Times New Roman" w:cs="Times New Roman"/>
        </w:rPr>
        <w:sectPr w:rsidR="00D50A97" w:rsidRPr="00B81196" w:rsidSect="002A01EC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134" w:right="851" w:bottom="1134" w:left="1701" w:header="709" w:footer="117" w:gutter="0"/>
          <w:pgNumType w:fmt="upperRoman" w:start="2"/>
          <w:cols w:space="720"/>
        </w:sectPr>
      </w:pPr>
    </w:p>
    <w:p w:rsidR="00D50A97" w:rsidRDefault="00D50A97">
      <w:pPr>
        <w:pStyle w:val="ConsPlusNormal"/>
        <w:spacing w:line="360" w:lineRule="auto"/>
        <w:jc w:val="center"/>
        <w:rPr>
          <w:rStyle w:val="None"/>
          <w:rFonts w:ascii="Times New Roman" w:eastAsia="Times New Roman" w:hAnsi="Times New Roman" w:cs="Times New Roman"/>
          <w:sz w:val="28"/>
          <w:szCs w:val="28"/>
        </w:rPr>
      </w:pPr>
    </w:p>
    <w:p w:rsidR="00D50A97" w:rsidRPr="00B81196" w:rsidRDefault="00A62FF6">
      <w:pPr>
        <w:pStyle w:val="ConsPlusNormal"/>
        <w:pBdr>
          <w:bottom w:val="single" w:sz="16" w:space="0" w:color="000000"/>
        </w:pBdr>
        <w:spacing w:line="36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b/>
          <w:bCs/>
          <w:sz w:val="28"/>
          <w:szCs w:val="28"/>
        </w:rPr>
        <w:t xml:space="preserve">М Е Ж Г О С У Д А Р С Т В Е Н </w:t>
      </w:r>
      <w:proofErr w:type="spellStart"/>
      <w:proofErr w:type="gramStart"/>
      <w:r w:rsidRPr="00B81196">
        <w:rPr>
          <w:rStyle w:val="None"/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B81196">
        <w:rPr>
          <w:rStyle w:val="None"/>
          <w:rFonts w:ascii="Times New Roman" w:hAnsi="Times New Roman" w:cs="Times New Roman"/>
          <w:b/>
          <w:bCs/>
          <w:sz w:val="28"/>
          <w:szCs w:val="28"/>
        </w:rPr>
        <w:t xml:space="preserve"> Ы Й  С Т А Н Д А Р Т</w:t>
      </w:r>
    </w:p>
    <w:p w:rsidR="00D50A97" w:rsidRPr="00B81196" w:rsidRDefault="00D50A97">
      <w:pPr>
        <w:pStyle w:val="ConsPlusNormal"/>
        <w:spacing w:line="36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B81196" w:rsidRDefault="00A62FF6">
      <w:pPr>
        <w:spacing w:line="360" w:lineRule="auto"/>
        <w:jc w:val="center"/>
        <w:rPr>
          <w:rStyle w:val="None"/>
          <w:rFonts w:ascii="Times New Roman" w:hAnsi="Times New Roman" w:cs="Times New Roman"/>
          <w:b/>
          <w:bCs/>
          <w:sz w:val="32"/>
          <w:szCs w:val="32"/>
        </w:rPr>
      </w:pP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t>СУДЕБНАЯ МОЛЕКУЛЯРНО-ГЕНЕТИЧЕСКАЯ ЭКСПЕРТИЗА ОБЪЕКТОВ ДИКОЙ ФЛОРЫ И ФАУНЫ</w:t>
      </w:r>
    </w:p>
    <w:p w:rsidR="00D50A97" w:rsidRPr="00B81196" w:rsidRDefault="00A62FF6">
      <w:pPr>
        <w:spacing w:line="360" w:lineRule="auto"/>
        <w:jc w:val="center"/>
        <w:rPr>
          <w:rStyle w:val="None"/>
          <w:rFonts w:ascii="Times New Roman" w:hAnsi="Times New Roman" w:cs="Times New Roman"/>
          <w:lang w:val="en-US"/>
        </w:rPr>
      </w:pP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t>Термины</w:t>
      </w:r>
      <w:r w:rsidR="002C74A5">
        <w:rPr>
          <w:rStyle w:val="None"/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t>и</w:t>
      </w:r>
      <w:r w:rsidR="002C74A5">
        <w:rPr>
          <w:rStyle w:val="None"/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t>определения</w:t>
      </w:r>
    </w:p>
    <w:p w:rsidR="00D50A97" w:rsidRPr="00B81196" w:rsidRDefault="00A62FF6">
      <w:pPr>
        <w:jc w:val="center"/>
        <w:rPr>
          <w:rStyle w:val="None"/>
          <w:rFonts w:ascii="Times New Roman" w:hAnsi="Times New Roman" w:cs="Times New Roman"/>
          <w:sz w:val="24"/>
          <w:szCs w:val="24"/>
          <w:lang w:val="en-US"/>
        </w:rPr>
      </w:pPr>
      <w:r w:rsidRPr="00B81196">
        <w:rPr>
          <w:rStyle w:val="None"/>
          <w:rFonts w:ascii="Times New Roman" w:hAnsi="Times New Roman" w:cs="Times New Roman"/>
          <w:sz w:val="24"/>
          <w:szCs w:val="24"/>
          <w:lang w:val="en-US"/>
        </w:rPr>
        <w:t>Wildlife forensics molecular genetic examination</w:t>
      </w:r>
    </w:p>
    <w:p w:rsidR="00D50A97" w:rsidRPr="001B26A3" w:rsidRDefault="00A62FF6">
      <w:pPr>
        <w:jc w:val="center"/>
        <w:rPr>
          <w:rStyle w:val="None"/>
          <w:rFonts w:ascii="Times New Roman" w:hAnsi="Times New Roman" w:cs="Times New Roman"/>
          <w:sz w:val="24"/>
          <w:szCs w:val="24"/>
          <w:lang w:val="en-US"/>
        </w:rPr>
      </w:pPr>
      <w:r w:rsidRPr="00B81196">
        <w:rPr>
          <w:rStyle w:val="None"/>
          <w:rFonts w:ascii="Times New Roman" w:hAnsi="Times New Roman" w:cs="Times New Roman"/>
          <w:sz w:val="24"/>
          <w:szCs w:val="24"/>
          <w:lang w:val="en-US"/>
        </w:rPr>
        <w:t>Terms</w:t>
      </w:r>
      <w:r w:rsidRPr="001B26A3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196">
        <w:rPr>
          <w:rStyle w:val="None"/>
          <w:rFonts w:ascii="Times New Roman" w:hAnsi="Times New Roman" w:cs="Times New Roman"/>
          <w:sz w:val="24"/>
          <w:szCs w:val="24"/>
          <w:lang w:val="en-US"/>
        </w:rPr>
        <w:t>and</w:t>
      </w:r>
      <w:r w:rsidRPr="001B26A3">
        <w:rPr>
          <w:rStyle w:val="Non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196">
        <w:rPr>
          <w:rStyle w:val="None"/>
          <w:rFonts w:ascii="Times New Roman" w:hAnsi="Times New Roman" w:cs="Times New Roman"/>
          <w:sz w:val="24"/>
          <w:szCs w:val="24"/>
          <w:lang w:val="en-US"/>
        </w:rPr>
        <w:t>definitions</w:t>
      </w:r>
    </w:p>
    <w:p w:rsidR="00D50A97" w:rsidRPr="001B26A3" w:rsidRDefault="00A62FF6">
      <w:pPr>
        <w:jc w:val="center"/>
        <w:rPr>
          <w:rStyle w:val="None"/>
          <w:rFonts w:ascii="Times New Roman" w:hAnsi="Times New Roman" w:cs="Times New Roman"/>
          <w:lang w:val="en-US"/>
        </w:rPr>
      </w:pPr>
      <w:r w:rsidRPr="001B26A3">
        <w:rPr>
          <w:rStyle w:val="None"/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</w:t>
      </w:r>
    </w:p>
    <w:p w:rsidR="00D50A97" w:rsidRPr="001B26A3" w:rsidRDefault="00A62FF6">
      <w:pPr>
        <w:pStyle w:val="ConsPlusNormal"/>
        <w:spacing w:line="360" w:lineRule="auto"/>
        <w:ind w:left="6381" w:firstLine="709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1196">
        <w:rPr>
          <w:rStyle w:val="None"/>
          <w:rFonts w:ascii="Times New Roman" w:hAnsi="Times New Roman" w:cs="Times New Roman"/>
          <w:b/>
          <w:bCs/>
          <w:sz w:val="24"/>
          <w:szCs w:val="24"/>
        </w:rPr>
        <w:t>Дата</w:t>
      </w:r>
      <w:r w:rsidR="00921ADA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1196">
        <w:rPr>
          <w:rStyle w:val="None"/>
          <w:rFonts w:ascii="Times New Roman" w:hAnsi="Times New Roman" w:cs="Times New Roman"/>
          <w:b/>
          <w:bCs/>
          <w:sz w:val="24"/>
          <w:szCs w:val="24"/>
        </w:rPr>
        <w:t>введения</w:t>
      </w:r>
      <w:r w:rsidRPr="001B26A3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</w:p>
    <w:p w:rsidR="00D50A97" w:rsidRPr="001B26A3" w:rsidRDefault="00D50A97">
      <w:pPr>
        <w:widowControl/>
        <w:suppressAutoHyphens w:val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50A97" w:rsidRPr="00B81196" w:rsidRDefault="00A62FF6">
      <w:pPr>
        <w:suppressAutoHyphens w:val="0"/>
        <w:spacing w:after="120"/>
        <w:ind w:firstLine="567"/>
        <w:jc w:val="both"/>
        <w:rPr>
          <w:rStyle w:val="None"/>
          <w:rFonts w:ascii="Times New Roman" w:hAnsi="Times New Roman" w:cs="Times New Roman"/>
          <w:b/>
          <w:bCs/>
          <w:sz w:val="32"/>
          <w:szCs w:val="32"/>
        </w:rPr>
      </w:pP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t>1 Область применения</w:t>
      </w:r>
    </w:p>
    <w:p w:rsidR="004B5FA9" w:rsidRPr="004B5FA9" w:rsidRDefault="004B5FA9" w:rsidP="004B5F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</w:pPr>
      <w:r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Настоящий стандарт устанавливает термины и определения понятий в области судебной молекулярно-генетической экспертизы объектов</w:t>
      </w:r>
      <w:r w:rsidR="006112A2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 дикой флоры и фауны, которые относятся к охраняемым видам растений и животных. 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Стандарт предназначен для применения лицами, связанными с назначением, организацией, проведением судебных молекулярно-генетических экспертиз. П</w:t>
      </w:r>
      <w:r w:rsidR="006112A2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еречисленные в стандарте термины и 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их </w:t>
      </w:r>
      <w:r w:rsidR="006112A2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определения при необходимости могут 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использоваться</w:t>
      </w:r>
      <w:r w:rsidR="00921ADA" w:rsidRPr="00921ADA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 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при</w:t>
      </w:r>
      <w:r w:rsidR="006112A2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 молекулярно-генетической экспертиз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е</w:t>
      </w:r>
      <w:r w:rsidR="00921ADA" w:rsidRPr="00921ADA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 </w:t>
      </w:r>
      <w:r w:rsidR="003C732E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иных</w:t>
      </w:r>
      <w:r w:rsidR="006112A2" w:rsidRPr="00B04C68">
        <w:rPr>
          <w:rFonts w:ascii="Times New Roman" w:eastAsia="MS Mincho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 xml:space="preserve"> биологических объектов.</w:t>
      </w:r>
    </w:p>
    <w:p w:rsidR="00D50A97" w:rsidRPr="00B81196" w:rsidRDefault="00A62FF6">
      <w:pPr>
        <w:ind w:firstLine="567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 xml:space="preserve">Термины, установленные настоящим стандартом, обязательны для применения во всех видах документации и литературы в области судебной молекулярно-генетической экспертизы объектов дикой флоры и фауны, входящих в сферу действия работ по стандартизации и (или) использующих результаты этих работ. </w:t>
      </w:r>
    </w:p>
    <w:p w:rsidR="006112A2" w:rsidRDefault="006112A2" w:rsidP="00B81196">
      <w:pPr>
        <w:pStyle w:val="ConsPlusNormal"/>
        <w:pBdr>
          <w:bottom w:val="single" w:sz="12" w:space="1" w:color="auto"/>
        </w:pBdr>
        <w:spacing w:after="120"/>
        <w:jc w:val="both"/>
        <w:rPr>
          <w:rStyle w:val="None"/>
          <w:rFonts w:ascii="Times New Roman" w:hAnsi="Times New Roman" w:cs="Times New Roman"/>
          <w:color w:val="19161A"/>
          <w:sz w:val="24"/>
          <w:szCs w:val="24"/>
          <w:u w:color="19161A"/>
        </w:rPr>
      </w:pPr>
    </w:p>
    <w:p w:rsidR="004C45A6" w:rsidRDefault="004C45A6" w:rsidP="00B81196">
      <w:pPr>
        <w:pStyle w:val="ConsPlusNormal"/>
        <w:pBdr>
          <w:bottom w:val="single" w:sz="12" w:space="1" w:color="auto"/>
        </w:pBdr>
        <w:spacing w:after="120"/>
        <w:jc w:val="both"/>
        <w:rPr>
          <w:rStyle w:val="None"/>
          <w:rFonts w:ascii="Times New Roman" w:hAnsi="Times New Roman" w:cs="Times New Roman"/>
          <w:color w:val="19161A"/>
          <w:sz w:val="24"/>
          <w:szCs w:val="24"/>
          <w:u w:color="19161A"/>
        </w:rPr>
      </w:pPr>
    </w:p>
    <w:p w:rsidR="00B81196" w:rsidRPr="00B81196" w:rsidRDefault="00B81196" w:rsidP="00B81196">
      <w:pPr>
        <w:pStyle w:val="ConsPlusNormal"/>
        <w:pBdr>
          <w:top w:val="none" w:sz="0" w:space="0" w:color="auto"/>
        </w:pBdr>
        <w:spacing w:after="120"/>
        <w:jc w:val="both"/>
        <w:rPr>
          <w:rStyle w:val="None"/>
          <w:rFonts w:ascii="Times New Roman" w:eastAsia="Times New Roman" w:hAnsi="Times New Roman" w:cs="Times New Roman"/>
          <w:b/>
          <w:color w:val="19161A"/>
          <w:sz w:val="28"/>
          <w:szCs w:val="28"/>
          <w:u w:color="19161A"/>
        </w:rPr>
      </w:pPr>
      <w:r>
        <w:rPr>
          <w:rStyle w:val="None"/>
          <w:rFonts w:ascii="Times New Roman" w:hAnsi="Times New Roman" w:cs="Times New Roman"/>
          <w:b/>
          <w:color w:val="19161A"/>
          <w:sz w:val="28"/>
          <w:szCs w:val="28"/>
          <w:u w:color="19161A"/>
        </w:rPr>
        <w:t>Издание официальное</w:t>
      </w:r>
    </w:p>
    <w:p w:rsidR="00D50A97" w:rsidRPr="00B81196" w:rsidRDefault="00A62FF6">
      <w:pPr>
        <w:widowControl/>
        <w:suppressAutoHyphens w:val="0"/>
        <w:rPr>
          <w:rFonts w:ascii="Times New Roman" w:hAnsi="Times New Roman" w:cs="Times New Roman"/>
        </w:rPr>
      </w:pPr>
      <w:r w:rsidRPr="00B81196">
        <w:rPr>
          <w:rStyle w:val="None"/>
          <w:rFonts w:ascii="Times New Roman" w:eastAsia="Arial Unicode MS" w:hAnsi="Times New Roman" w:cs="Times New Roman"/>
          <w:color w:val="19161A"/>
          <w:sz w:val="24"/>
          <w:szCs w:val="24"/>
          <w:u w:color="19161A"/>
        </w:rPr>
        <w:br w:type="page"/>
      </w:r>
    </w:p>
    <w:p w:rsidR="00D50A97" w:rsidRPr="00B81196" w:rsidRDefault="00A62FF6">
      <w:pPr>
        <w:spacing w:line="480" w:lineRule="auto"/>
        <w:ind w:firstLine="567"/>
        <w:outlineLvl w:val="0"/>
        <w:rPr>
          <w:rStyle w:val="None"/>
          <w:rFonts w:ascii="Times New Roman" w:hAnsi="Times New Roman" w:cs="Times New Roman"/>
          <w:b/>
          <w:bCs/>
          <w:sz w:val="32"/>
          <w:szCs w:val="32"/>
        </w:rPr>
      </w:pPr>
      <w:r w:rsidRPr="00B81196">
        <w:rPr>
          <w:rStyle w:val="None"/>
          <w:rFonts w:ascii="Times New Roman" w:hAnsi="Times New Roman" w:cs="Times New Roman"/>
          <w:b/>
          <w:bCs/>
          <w:sz w:val="32"/>
          <w:szCs w:val="32"/>
        </w:rPr>
        <w:lastRenderedPageBreak/>
        <w:t>2 Термины и определения</w:t>
      </w:r>
    </w:p>
    <w:tbl>
      <w:tblPr>
        <w:tblStyle w:val="TableNormal"/>
        <w:tblW w:w="9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3"/>
        <w:gridCol w:w="4782"/>
        <w:gridCol w:w="152"/>
        <w:gridCol w:w="178"/>
        <w:gridCol w:w="1009"/>
        <w:gridCol w:w="93"/>
        <w:gridCol w:w="184"/>
        <w:gridCol w:w="2105"/>
        <w:gridCol w:w="101"/>
        <w:gridCol w:w="81"/>
      </w:tblGrid>
      <w:tr w:rsidR="00D50A97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r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аллель: </w:t>
            </w:r>
            <w:r>
              <w:rPr>
                <w:rStyle w:val="None"/>
                <w:rFonts w:ascii="Times New Roman" w:hAnsi="Times New Roman"/>
                <w:sz w:val="28"/>
                <w:szCs w:val="28"/>
              </w:rPr>
              <w:t>Одно из возможных альтернативных структурных состояний гена или участка ДНК конкретной локализации.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8"/>
                <w:szCs w:val="28"/>
              </w:rPr>
              <w:t>allele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</w:tr>
      <w:tr w:rsidR="00D50A97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</w:tr>
      <w:tr w:rsidR="00D50A97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934008" w:rsidRDefault="00A62FF6">
            <w:pPr>
              <w:ind w:right="62"/>
              <w:jc w:val="both"/>
            </w:pPr>
            <w:r w:rsidRPr="00934008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93400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934008" w:rsidRDefault="00303E5F">
            <w:pPr>
              <w:ind w:right="62"/>
              <w:jc w:val="both"/>
            </w:pPr>
            <w:r w:rsidRPr="00934008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амплификация</w:t>
            </w:r>
            <w:r w:rsidRPr="0093400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: Процесс накопления копий определенной нуклеотидной последовательности во время полимеразной цепной реакции.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934008" w:rsidRDefault="00A62FF6">
            <w:pPr>
              <w:ind w:right="62"/>
              <w:jc w:val="both"/>
            </w:pPr>
            <w:proofErr w:type="spellStart"/>
            <w:r w:rsidRPr="00934008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A62FF6">
            <w:pPr>
              <w:ind w:right="62"/>
              <w:jc w:val="both"/>
            </w:pPr>
            <w:proofErr w:type="spellStart"/>
            <w:r w:rsidRPr="00934008">
              <w:rPr>
                <w:rStyle w:val="None"/>
                <w:rFonts w:ascii="Times New Roman" w:hAnsi="Times New Roman"/>
                <w:sz w:val="28"/>
                <w:szCs w:val="28"/>
              </w:rPr>
              <w:t>amplification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Default="00D50A97"/>
        </w:tc>
      </w:tr>
      <w:tr w:rsidR="00D50A97" w:rsidRPr="005C0AB1" w:rsidTr="00122EEA">
        <w:trPr>
          <w:trHeight w:val="41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аутосомы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Все хромосомы, кроме половых.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autosome</w:t>
            </w:r>
            <w:proofErr w:type="spellEnd"/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5C0AB1" w:rsidRPr="005C0AB1" w:rsidRDefault="00303E5F" w:rsidP="00122EEA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база данных ДНК: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Автоматизированная </w:t>
            </w:r>
            <w:r w:rsidR="00E10029"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информационно-поисковая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система генетической идентификации, позволяющая хранить и обрабатывать генетическую информацию биологических объектов</w:t>
            </w:r>
            <w:r w:rsidR="00AD217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DNA-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database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3361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биологический материал: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Клетки тканей и биологических жидкостей организма.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rStyle w:val="None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biological</w:t>
            </w:r>
            <w:proofErr w:type="spellEnd"/>
          </w:p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material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33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rStyle w:val="Non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биологическое сообщество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(</w:t>
            </w: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биоценоз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овокупность организмов, взаимодействующих между собой в течение длительного времени и локализованных в определенном месте.</w:t>
            </w:r>
          </w:p>
          <w:p w:rsidR="0075694A" w:rsidRPr="0075694A" w:rsidRDefault="0075694A" w:rsidP="00F35807">
            <w:pPr>
              <w:ind w:right="62"/>
              <w:jc w:val="both"/>
              <w:rPr>
                <w:color w:val="auto"/>
              </w:rPr>
            </w:pPr>
            <w:r w:rsidRPr="00F35807">
              <w:rPr>
                <w:rStyle w:val="None"/>
                <w:rFonts w:ascii="Times New Roman" w:hAnsi="Times New Roman"/>
                <w:color w:val="auto"/>
                <w:spacing w:val="20"/>
                <w:sz w:val="24"/>
                <w:szCs w:val="24"/>
              </w:rPr>
              <w:t>Примечание</w:t>
            </w:r>
            <w:r w:rsidRPr="00F35807">
              <w:rPr>
                <w:rStyle w:val="None"/>
                <w:rFonts w:ascii="Times New Roman" w:hAnsi="Times New Roman"/>
                <w:color w:val="auto"/>
                <w:sz w:val="24"/>
                <w:szCs w:val="24"/>
              </w:rPr>
              <w:t xml:space="preserve"> – К организмам относятся: растения, животные, микроорганизмы, грибы</w:t>
            </w:r>
            <w:r>
              <w:rPr>
                <w:rStyle w:val="None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after="120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spacing w:after="120"/>
              <w:ind w:right="62"/>
              <w:rPr>
                <w:rStyle w:val="None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B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iological</w:t>
            </w:r>
            <w:proofErr w:type="spellEnd"/>
            <w:r w:rsidR="00502FF7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community</w:t>
            </w:r>
            <w:proofErr w:type="spellEnd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iocenosis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вероятность случайного совпадения: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Вероятность случайного обнаружения в популяции индивидуума с конкретным генетическим профилем.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andom</w:t>
            </w:r>
            <w:proofErr w:type="spellEnd"/>
            <w:r w:rsidR="00EF21C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match</w:t>
            </w:r>
            <w:proofErr w:type="spellEnd"/>
            <w:r w:rsidR="00EF21C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probability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tabs>
                <w:tab w:val="left" w:pos="3615"/>
              </w:tabs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2.8]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22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AD217F" w:rsidRPr="00A43434" w:rsidRDefault="00A43434">
            <w:pPr>
              <w:ind w:right="62"/>
              <w:jc w:val="both"/>
              <w:rPr>
                <w:rStyle w:val="None"/>
                <w:rFonts w:ascii="Times New Roman" w:hAnsi="Times New Roman"/>
                <w:sz w:val="28"/>
                <w:szCs w:val="28"/>
              </w:rPr>
            </w:pPr>
            <w:r w:rsidRPr="00A43434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внутренний стандарт длины: </w:t>
            </w:r>
            <w:r w:rsidRPr="00A43434">
              <w:rPr>
                <w:rStyle w:val="None"/>
                <w:rFonts w:ascii="Times New Roman" w:hAnsi="Times New Roman"/>
                <w:bCs/>
                <w:sz w:val="28"/>
                <w:szCs w:val="28"/>
              </w:rPr>
              <w:t>Проба, содержащая меченые флуоресцентными красителями фрагменты ДНК известной длины, используемая при проведении электрофореза для обеспечения возможности расчета молекулярных размеров исследуемых фрагментов ДНК.</w:t>
            </w:r>
          </w:p>
          <w:p w:rsidR="00AD217F" w:rsidRPr="005C0AB1" w:rsidRDefault="00AD217F">
            <w:pPr>
              <w:ind w:right="62"/>
              <w:jc w:val="both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nternal</w:t>
            </w:r>
            <w:proofErr w:type="spellEnd"/>
            <w:r w:rsidR="0075135C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size</w:t>
            </w:r>
            <w:proofErr w:type="spellEnd"/>
            <w:r w:rsidR="0075135C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standard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41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гаплотип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Комбинация аллелей на одной хромосоме индивидуума.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aplotype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2.10]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gridAfter w:val="1"/>
          <w:wAfter w:w="81" w:type="dxa"/>
          <w:trHeight w:val="16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303E5F">
            <w:pPr>
              <w:ind w:right="62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proofErr w:type="spellStart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гаплогруппа</w:t>
            </w:r>
            <w:proofErr w:type="spellEnd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: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Группа </w:t>
            </w:r>
            <w:proofErr w:type="spell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схожихгаплотипов</w:t>
            </w:r>
            <w:proofErr w:type="spell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, </w:t>
            </w:r>
            <w:proofErr w:type="gram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имеющих</w:t>
            </w:r>
            <w:proofErr w:type="gram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общего предка, которые претерпели одинаковую мутацию и имеют общий полиморфизм одного нуклеотида (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val="en-US" w:eastAsia="zh-CN"/>
              </w:rPr>
              <w:t>SNP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).</w:t>
            </w:r>
          </w:p>
          <w:p w:rsidR="005C0AB1" w:rsidRPr="005C0AB1" w:rsidRDefault="005C0AB1">
            <w:pPr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haplogroup</w:t>
            </w:r>
            <w:proofErr w:type="spellEnd"/>
          </w:p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генетическая идентификация: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Установление тождества биологических объектов посредством анализа ДНК.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</w:t>
            </w:r>
            <w:proofErr w:type="spellEnd"/>
            <w:r w:rsidR="003F2D3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identification</w:t>
            </w:r>
            <w:proofErr w:type="spellEnd"/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2.11]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E54195" w:rsidRPr="005C0AB1" w:rsidTr="0013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17"/>
        </w:trPr>
        <w:tc>
          <w:tcPr>
            <w:tcW w:w="833" w:type="dxa"/>
          </w:tcPr>
          <w:p w:rsidR="00E54195" w:rsidRPr="005C0AB1" w:rsidRDefault="00E54195" w:rsidP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934" w:type="dxa"/>
            <w:gridSpan w:val="2"/>
          </w:tcPr>
          <w:p w:rsidR="00E54195" w:rsidRPr="005C0AB1" w:rsidRDefault="00E54195" w:rsidP="00765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2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генетический маркер (ДНК–маркер):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Последовательность ДНК, по которой наблюдается полиморфизм при сравнении генотипов различных видов, особей, пород, сортов, линий.</w:t>
            </w:r>
          </w:p>
          <w:p w:rsidR="00E54195" w:rsidRPr="005C0AB1" w:rsidRDefault="00E54195" w:rsidP="00765AE4">
            <w:pPr>
              <w:ind w:right="62"/>
              <w:jc w:val="both"/>
            </w:pPr>
          </w:p>
        </w:tc>
        <w:tc>
          <w:tcPr>
            <w:tcW w:w="1187" w:type="dxa"/>
            <w:gridSpan w:val="2"/>
          </w:tcPr>
          <w:p w:rsidR="00E54195" w:rsidRPr="005C0AB1" w:rsidRDefault="00E54195" w:rsidP="00765AE4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</w:tcPr>
          <w:p w:rsidR="00E54195" w:rsidRPr="005C0AB1" w:rsidRDefault="003146BF" w:rsidP="00765AE4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G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eneticmarker</w:t>
            </w:r>
            <w:proofErr w:type="spellEnd"/>
          </w:p>
        </w:tc>
        <w:tc>
          <w:tcPr>
            <w:tcW w:w="182" w:type="dxa"/>
            <w:gridSpan w:val="2"/>
          </w:tcPr>
          <w:p w:rsidR="00E54195" w:rsidRPr="005C0AB1" w:rsidRDefault="00E54195" w:rsidP="00765AE4"/>
        </w:tc>
      </w:tr>
      <w:tr w:rsidR="00D50A97" w:rsidRPr="005C0AB1" w:rsidTr="00136C36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3361F6" w:rsidRDefault="00A62FF6" w:rsidP="00336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генетический пол: </w:t>
            </w:r>
            <w:r w:rsidR="003361F6" w:rsidRPr="003361F6">
              <w:rPr>
                <w:rFonts w:ascii="Times New Roman" w:hAnsi="Times New Roman" w:cs="Times New Roman"/>
                <w:sz w:val="28"/>
                <w:szCs w:val="28"/>
              </w:rPr>
              <w:t>Половая принадлежность организма, определяемая наличием в большинстве соматических клеток генетических маркеров половой дифференциации</w:t>
            </w:r>
            <w:r w:rsidR="00336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A97" w:rsidRPr="005C0AB1" w:rsidRDefault="00D50A97">
            <w:pPr>
              <w:ind w:right="62"/>
              <w:jc w:val="both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G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enetical</w:t>
            </w:r>
            <w:proofErr w:type="spellEnd"/>
            <w:r w:rsidR="00AC4E8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sex</w:t>
            </w:r>
            <w:proofErr w:type="spellEnd"/>
            <w:r w:rsidR="00AC4E8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determination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8B0F9A">
        <w:trPr>
          <w:trHeight w:val="41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E54195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генетический признак: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Любое свойство организма, по которому существуют качественные или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 xml:space="preserve">количественные различия, </w:t>
            </w:r>
            <w:r w:rsidR="003361F6" w:rsidRPr="003361F6">
              <w:rPr>
                <w:rStyle w:val="None"/>
                <w:sz w:val="28"/>
                <w:szCs w:val="28"/>
              </w:rPr>
              <w:t xml:space="preserve">которые </w:t>
            </w:r>
            <w:r w:rsidR="003361F6" w:rsidRPr="008B0F9A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>определяются геномом</w:t>
            </w:r>
            <w:r w:rsidRPr="008B0F9A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lastRenderedPageBreak/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</w:t>
            </w:r>
            <w:proofErr w:type="spellEnd"/>
            <w:r w:rsidR="00AC4E8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feature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36C36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E54195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03E5F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генетический профиль: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Результат определения совокупности аллелей в одном или нескольких локусах ДНК индивидуума.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-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profile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41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E54195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геном: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Совокупный генетический материал организма.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genome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2.15]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E54195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303E5F">
            <w:pPr>
              <w:ind w:right="62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генотип: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Установленная совокупность генов или генетических характеристик конкретного организма.</w:t>
            </w:r>
          </w:p>
          <w:p w:rsidR="005C0AB1" w:rsidRPr="005C0AB1" w:rsidRDefault="005C0AB1">
            <w:pPr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genotype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765AE4" w:rsidRPr="005C0AB1" w:rsidTr="00136C36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A50059">
            <w:pPr>
              <w:ind w:right="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Г</w:t>
            </w:r>
            <w:r w:rsidR="00765AE4"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енотипировани</w:t>
            </w:r>
            <w:proofErr w:type="gramStart"/>
            <w:r w:rsidR="00765AE4"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е</w:t>
            </w:r>
            <w:proofErr w:type="spellEnd"/>
            <w:r w:rsidR="00765AE4"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(</w:t>
            </w:r>
            <w:proofErr w:type="gramEnd"/>
            <w:r w:rsidR="00765AE4" w:rsidRPr="005C0AB1">
              <w:rPr>
                <w:rFonts w:ascii="Times New Roman" w:eastAsia="MS Mincho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/>
                <w:lang w:eastAsia="zh-CN"/>
              </w:rPr>
              <w:t>типирование ДНК</w:t>
            </w:r>
            <w:r w:rsidR="00765AE4"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): Анализ особенностей дезоксирибонуклеиновой кислоты (ДНК) организма в целях установления его индивидуальности.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E4" w:rsidRPr="005C0AB1" w:rsidRDefault="00765AE4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E4" w:rsidRPr="005C0AB1" w:rsidRDefault="00765AE4"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-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typing</w:t>
            </w:r>
          </w:p>
        </w:tc>
      </w:tr>
      <w:tr w:rsidR="00D50A97" w:rsidRPr="005C0AB1" w:rsidTr="00122EEA">
        <w:trPr>
          <w:trHeight w:val="25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2.17]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E54195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03E5F">
            <w:pPr>
              <w:ind w:right="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гетерозиготность</w:t>
            </w:r>
            <w:proofErr w:type="spellEnd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Состояние, при котором на аналогичных участках ДНК гомологичных хромосом организма находятся разные аллели.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eterozygosity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765AE4" w:rsidRPr="005C0AB1" w:rsidTr="00136C36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гибридизация нуклеиновых кислот: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Соединение комплементарных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одноцепочечных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молекул нуклеиновых кислот в одну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двухцепочечную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молекулу.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AE4" w:rsidRPr="005C0AB1" w:rsidRDefault="00765AE4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E4" w:rsidRPr="005C0AB1" w:rsidRDefault="003146BF"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</w:t>
            </w:r>
            <w:r w:rsidR="00765AE4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ucleic</w:t>
            </w:r>
            <w:proofErr w:type="spellEnd"/>
            <w:r w:rsidR="00AC4E8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5AE4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acid</w:t>
            </w:r>
            <w:proofErr w:type="spellEnd"/>
            <w:r w:rsidR="00AC4E8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5AE4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hybridization</w:t>
            </w:r>
            <w:proofErr w:type="spellEnd"/>
          </w:p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2.19]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303E5F" w:rsidRPr="005C0AB1" w:rsidRDefault="00303E5F" w:rsidP="00303E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2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proofErr w:type="spellStart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гомозиготность</w:t>
            </w:r>
            <w:proofErr w:type="spellEnd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Состояние, при котором на аналогичных участках ДНК гомологичных хромосом организма находятся одинаковые аллели.</w:t>
            </w:r>
          </w:p>
          <w:p w:rsidR="00D50A97" w:rsidRPr="005C0AB1" w:rsidRDefault="00D50A97">
            <w:pPr>
              <w:ind w:right="62"/>
              <w:jc w:val="both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omozygosity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765AE4" w:rsidRPr="005C0AB1" w:rsidTr="00136C36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765AE4" w:rsidRPr="005C0AB1" w:rsidRDefault="00765AE4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деградация ДНК: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Фрагментация ДНК под воздействием различных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деструктивных факторов.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E4" w:rsidRPr="005C0AB1" w:rsidRDefault="00765AE4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lastRenderedPageBreak/>
              <w:t>en</w:t>
            </w:r>
            <w:proofErr w:type="spellEnd"/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E4" w:rsidRPr="005C0AB1" w:rsidRDefault="00765AE4"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</w:t>
            </w:r>
            <w:r w:rsidR="005938B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degradation</w:t>
            </w:r>
          </w:p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2.21]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ДНК-штрихкодирование: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Метод молекулярной идентификации, позволяющий определять принадлежность организма к определенному таксону по коротким генетическим маркерам.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 barcoding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Default="00303E5F">
            <w:pPr>
              <w:ind w:right="62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ингибитор ПЦР: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Любой фактор, который препятствует увеличению копий фрагментов нуклеиновой кислоты при проведении полимеразной цепной реакции или уменьшает их количество.</w:t>
            </w:r>
          </w:p>
          <w:p w:rsidR="005474D1" w:rsidRPr="005C0AB1" w:rsidRDefault="005474D1">
            <w:pPr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PCR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nhibitor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контаминация: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Загрязнение одного субстрата или биологического материала другим.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ontamination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2.24]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лизис: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Разрушение клеток под действием ферментов или других агентов.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ysis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2.25]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410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локус: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Определенный участок ДНК на хромосоме.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ocus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2.26]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50059" w:rsidP="00A50059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етагено</w:t>
            </w:r>
            <w:proofErr w:type="gramStart"/>
            <w:r w:rsidRPr="00A50059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proofErr w:type="spellEnd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A62FF6"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биогеном</w:t>
            </w:r>
            <w:proofErr w:type="spellEnd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):</w:t>
            </w: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Сово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купный генетический</w:t>
            </w: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м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атериал биологических сообществ, населяющих организм животных или различные природные среды – почву или грунт, растения, воздух и др.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metagenom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,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iogenome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2.27]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207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rStyle w:val="Non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микробное сообщество: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Совокупность микроорганизмов, взаимодействующих между собой в течение длительного времени и локализованных в определенном месте.</w:t>
            </w:r>
          </w:p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Примечание – К микроорганизмам относятся: бактерии, археи,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4"/>
                <w:szCs w:val="24"/>
              </w:rPr>
              <w:t>микромицеты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icrobial</w:t>
            </w:r>
            <w:proofErr w:type="spellEnd"/>
            <w:r w:rsidR="005938B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community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2.28]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09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="00E54195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303E5F" w:rsidRPr="005C0AB1" w:rsidRDefault="00303E5F" w:rsidP="00303E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proofErr w:type="spellStart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митохондриальная</w:t>
            </w:r>
            <w:proofErr w:type="spellEnd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ДНК (</w:t>
            </w:r>
            <w:proofErr w:type="spellStart"/>
            <w:r w:rsidRPr="005C0AB1">
              <w:rPr>
                <w:rFonts w:ascii="Times New Roman" w:eastAsia="MS Mincho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/>
                <w:lang w:eastAsia="zh-CN"/>
              </w:rPr>
              <w:t>мтДНК</w:t>
            </w:r>
            <w:proofErr w:type="spellEnd"/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)</w:t>
            </w:r>
            <w:proofErr w:type="gram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:К</w:t>
            </w:r>
            <w:proofErr w:type="gram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ольцевая </w:t>
            </w:r>
            <w:proofErr w:type="spell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двухнитевая</w:t>
            </w:r>
            <w:proofErr w:type="spell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молекула ДНК, входящая в состав митохондрий.</w:t>
            </w:r>
          </w:p>
          <w:p w:rsidR="00D50A97" w:rsidRPr="005C0AB1" w:rsidRDefault="00D50A97">
            <w:pPr>
              <w:ind w:right="62"/>
              <w:jc w:val="both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itochondrial</w:t>
            </w:r>
            <w:proofErr w:type="spellEnd"/>
            <w:r w:rsidR="005938B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genome</w:t>
            </w:r>
            <w:proofErr w:type="spellEnd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mtDNA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088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образец сравнения: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Образец известного организма или биологический объект с известными свойствами, исследуемый с целью сравнения с биологическими объектами неизвестного происхождения.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reference sample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5E74DF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2.30]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5E74DF">
        <w:trPr>
          <w:trHeight w:val="122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3361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отрицательный контроль выделения: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Проба, не содержащая биологического материала, которая параллельно с объектами исследования проводится через все этапы выделения </w:t>
            </w:r>
            <w:proofErr w:type="gramStart"/>
            <w:r w:rsidR="002B0655" w:rsidRPr="003361F6">
              <w:rPr>
                <w:rStyle w:val="None"/>
                <w:rFonts w:ascii="Times New Roman" w:hAnsi="Times New Roman"/>
                <w:sz w:val="28"/>
                <w:szCs w:val="28"/>
              </w:rPr>
              <w:t>нуклеиновых</w:t>
            </w:r>
            <w:proofErr w:type="gramEnd"/>
            <w:r w:rsidR="002B0655" w:rsidRPr="003361F6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655" w:rsidRPr="003361F6">
              <w:rPr>
                <w:rStyle w:val="None"/>
                <w:rFonts w:ascii="Times New Roman" w:hAnsi="Times New Roman"/>
                <w:sz w:val="28"/>
                <w:szCs w:val="28"/>
              </w:rPr>
              <w:t>кислот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контроля корректности проведенного выделения.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3361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negative extraction control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5E74DF">
        <w:trPr>
          <w:trHeight w:val="71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3361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отрицательный контроль: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Проба, не содержащая </w:t>
            </w:r>
            <w:r w:rsidR="000D1985" w:rsidRPr="003361F6">
              <w:rPr>
                <w:rStyle w:val="None"/>
                <w:rFonts w:ascii="Times New Roman" w:hAnsi="Times New Roman"/>
                <w:sz w:val="28"/>
                <w:szCs w:val="28"/>
              </w:rPr>
              <w:t>нуклеиновых кислот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, которая параллельно с объектами исследования используется для контроля отсутствия контаминации.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negative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5E74DF">
        <w:trPr>
          <w:trHeight w:val="1564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rStyle w:val="None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полимеразная цепная реакция в «реальном времени»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(</w:t>
            </w: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количественная полимеразная цепная реакция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етод, используемый для одновременного увеличения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количества фрагментов ДНК и измерения их количества.</w:t>
            </w:r>
          </w:p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4"/>
                <w:szCs w:val="24"/>
              </w:rPr>
              <w:t>Примечание – В судебной молекулярно-генетической экспертизе применяется для измерения концентрации ДНК, степени ее деградации и установления наличия в растворе ДНК ингибиторов ПЦР.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real-time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PCR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2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2.34]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полимеразная цепная реакция </w:t>
            </w: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(ПЦР)</w:t>
            </w: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Ферментативный метод увеличения количества исследуемых фрагментов ДНК.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polymerase chain reaction; PCR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2.35]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полиморфизм: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Наличие нескольких аллельных форм отдельных генов и участков ДНК.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olymorphism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2.36]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224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положительный контроль амплификации: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Проба, содержащая ДНК известной концентрации с известным набором генетических признаков, которая параллельно с объектами исследования используется для контроля корректности установления генетических профилей.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146B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ositive</w:t>
            </w:r>
            <w:proofErr w:type="spellEnd"/>
            <w:r w:rsidR="005938B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amplification</w:t>
            </w:r>
            <w:proofErr w:type="spellEnd"/>
            <w:r w:rsidR="005938B8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2.37]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952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популяция: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Совокупность особей одного вида, обладающих общим генофондом, что определяется наличием свободного скрещивания, и занимающих определенную территорию.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opulation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2.38]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1202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праймер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Короткий фрагмент нуклеиновой кислоты (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олигонуклеотид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), который применяется в полимеразной цепной реакции и при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секвенировании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ДНК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для начала синтеза и обозначения границ фрагмента ДНК, подлежащего амплификации.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lastRenderedPageBreak/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rimer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2.39]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секвенирование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 ДНК: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Определение последовательности нуклеотидов в конкретных участках молекулы ДНК.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DNA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sequencing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2.40]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681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совпадение генетических профилей: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Наличие в сравниваемых генетических профилях одинаковых генетических признаков.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genetic profiles match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2.41]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хлоропластная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 ДНК: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ДНК, содержащаяся в хлоропластах растений.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hloroplast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DNA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2.42]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встречаемости </w:t>
            </w: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аллеля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конкретногоаллеля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среди других аллелей в популяции.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allele frequency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2.43]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электрофореграмма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Графическое изображение результата электрофореза.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lectrophoregram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57343-2016, пункт 2.44]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B9537B" w:rsidRPr="005C0AB1" w:rsidTr="00122EEA">
        <w:trPr>
          <w:trHeight w:val="81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B9537B" w:rsidRPr="005C0AB1" w:rsidRDefault="00B9537B" w:rsidP="00AD217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B9537B" w:rsidRPr="005C0AB1" w:rsidRDefault="00B9537B" w:rsidP="00AD2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2"/>
              <w:jc w:val="both"/>
              <w:rPr>
                <w:rFonts w:ascii="Times New Roman" w:eastAsia="MS Mincho" w:hAnsi="Times New Roman" w:cs="Times New Roman"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электрофорез: </w:t>
            </w:r>
            <w:r w:rsidRPr="005C0AB1">
              <w:rPr>
                <w:rFonts w:ascii="Times New Roman" w:eastAsia="MS Mincho" w:hAnsi="Times New Roman" w:cs="Times New Roman"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>Направленное перемещение заряженных частиц в дисперсионной среде под действием внешнего электрического поля. В молекулярной биологии широко используется для разделения макромолекул.</w:t>
            </w:r>
          </w:p>
          <w:p w:rsidR="00B9537B" w:rsidRPr="005C0AB1" w:rsidRDefault="00B9537B" w:rsidP="00AD217F">
            <w:pPr>
              <w:ind w:right="62"/>
              <w:jc w:val="both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B9537B" w:rsidRPr="005C0AB1" w:rsidRDefault="00B9537B" w:rsidP="00AD217F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B9537B" w:rsidRPr="005C0AB1" w:rsidRDefault="00B9537B" w:rsidP="00AD217F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lectrophoresis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37B" w:rsidRPr="005C0AB1" w:rsidRDefault="00B9537B" w:rsidP="00AD217F"/>
        </w:tc>
      </w:tr>
      <w:tr w:rsidR="00D50A97" w:rsidRPr="005C0AB1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03E5F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ядерная ДНК: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ДНК, содержащаяся в ядре </w:t>
            </w:r>
            <w:proofErr w:type="spell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эукариотических</w:t>
            </w:r>
            <w:proofErr w:type="spell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организмов.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nuclear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DNA,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nDNA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5C0AB1" w:rsidTr="00122EEA">
        <w:trPr>
          <w:trHeight w:val="2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C0AB1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 xml:space="preserve">[ГОСТ </w:t>
            </w:r>
            <w:proofErr w:type="gramStart"/>
            <w:r w:rsidRPr="005C0AB1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0AB1">
              <w:rPr>
                <w:rStyle w:val="None"/>
                <w:rFonts w:ascii="Times New Roman" w:hAnsi="Times New Roman" w:cs="Times New Roman"/>
                <w:sz w:val="28"/>
                <w:szCs w:val="28"/>
              </w:rPr>
              <w:t xml:space="preserve"> 57343-2016, пункт 2.46]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D50A97"/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/>
        </w:tc>
      </w:tr>
      <w:tr w:rsidR="00D50A97" w:rsidRPr="00A043AF" w:rsidTr="00122EEA">
        <w:trPr>
          <w:trHeight w:val="54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303E5F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SNP-локус: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Участок ДНК, последовательности аллелей которого различаются одним нуклеотидом в сравнении с аналогичным участком гомологичной хромосомы.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lang w:val="en-US"/>
              </w:rPr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single nucleotide polymorphism locus, SNP-locus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>
            <w:pPr>
              <w:rPr>
                <w:lang w:val="en-US"/>
              </w:rPr>
            </w:pPr>
          </w:p>
        </w:tc>
      </w:tr>
      <w:tr w:rsidR="00D50A97" w:rsidRPr="00A043AF" w:rsidTr="00122EEA">
        <w:trPr>
          <w:trHeight w:val="14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2.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303E5F" w:rsidRPr="005C0AB1" w:rsidRDefault="00303E5F" w:rsidP="00303E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5C0AB1">
              <w:rPr>
                <w:rFonts w:ascii="Times New Roman" w:eastAsia="MS Mincho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STR-локус: </w:t>
            </w: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Участок ДНК, состоящий из следующих друг за другом повторяющихся нуклеотидных звеньев с некоторой общей последовательностью длиной от 2 до 7 нуклеотидов. </w:t>
            </w:r>
          </w:p>
          <w:p w:rsidR="00D50A97" w:rsidRPr="005C0AB1" w:rsidRDefault="00303E5F" w:rsidP="00303E5F">
            <w:pPr>
              <w:ind w:right="62"/>
              <w:jc w:val="both"/>
            </w:pPr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Примечание – Индивидуальные аллели STR-локуса отличаются друг от друга числом этих одинаковых </w:t>
            </w:r>
            <w:proofErr w:type="spellStart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тандемно</w:t>
            </w:r>
            <w:proofErr w:type="spellEnd"/>
            <w:r w:rsidRPr="005C0AB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 xml:space="preserve"> повторяющихся последовательностей (повторов).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ind w:right="62"/>
              <w:jc w:val="both"/>
              <w:rPr>
                <w:lang w:val="en-US"/>
              </w:rPr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short tandem repeat locus, STR-locus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D50A97">
            <w:pPr>
              <w:rPr>
                <w:lang w:val="en-US"/>
              </w:rPr>
            </w:pPr>
          </w:p>
        </w:tc>
      </w:tr>
    </w:tbl>
    <w:p w:rsidR="00D50A97" w:rsidRPr="005C0AB1" w:rsidRDefault="00A62FF6">
      <w:pPr>
        <w:widowControl/>
        <w:suppressAutoHyphens w:val="0"/>
        <w:rPr>
          <w:lang w:val="en-US"/>
        </w:rPr>
      </w:pPr>
      <w:r w:rsidRPr="005C0AB1">
        <w:rPr>
          <w:rStyle w:val="None"/>
          <w:rFonts w:ascii="Arial Unicode MS" w:eastAsia="Arial Unicode MS" w:hAnsi="Arial Unicode MS" w:cs="Arial Unicode MS"/>
          <w:sz w:val="28"/>
          <w:szCs w:val="28"/>
          <w:lang w:val="en-US"/>
        </w:rPr>
        <w:br w:type="page"/>
      </w:r>
    </w:p>
    <w:p w:rsidR="00D50A97" w:rsidRPr="005C0AB1" w:rsidRDefault="00A62FF6">
      <w:pPr>
        <w:pStyle w:val="210"/>
        <w:spacing w:before="240"/>
        <w:jc w:val="center"/>
        <w:rPr>
          <w:rStyle w:val="None"/>
          <w:rFonts w:ascii="Times New Roman" w:hAnsi="Times New Roman" w:cs="Times New Roman"/>
          <w:b/>
          <w:bCs/>
          <w:sz w:val="28"/>
          <w:szCs w:val="28"/>
        </w:rPr>
      </w:pPr>
      <w:r w:rsidRPr="005C0AB1">
        <w:rPr>
          <w:rStyle w:val="None"/>
          <w:rFonts w:ascii="Times New Roman" w:hAnsi="Times New Roman" w:cs="Times New Roman"/>
          <w:b/>
          <w:bCs/>
          <w:sz w:val="28"/>
          <w:szCs w:val="28"/>
        </w:rPr>
        <w:lastRenderedPageBreak/>
        <w:t>Алфавитный указатель терминов на русском языке</w:t>
      </w: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83"/>
        <w:gridCol w:w="973"/>
      </w:tblGrid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аллель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амплификация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аутосомы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база данных ДНК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биогеном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31463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биоценоз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вероятность случайного совпадения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гаплотип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гаплогруппа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геном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генотип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генотипирование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гетерозиготность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гибридизация нуклеиновых кислот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гомозиготность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деградация ДНК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 xml:space="preserve">ДНК </w:t>
            </w:r>
            <w:proofErr w:type="spellStart"/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митохондриальная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ДНК </w:t>
            </w: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хлоропластная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ДНК-штрихкодирование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ДНК ядерная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идентификация генетическая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12AA1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ингибитор ПЦР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контаминация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контроль амплификации положительный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контроль выделения отрицательный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контроль отрицательный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лизис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локус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маркер генетический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материал биологический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метагеном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  <w:rPr>
                <w:b/>
              </w:rPr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iCs/>
                <w:sz w:val="28"/>
                <w:szCs w:val="28"/>
              </w:rPr>
              <w:t>мтДНК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образец сравнения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пол генетический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полиморфизм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популяция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праймер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признак генетический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1E6FE2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профиль генетический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ПЦР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реакция полимеразная цепная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реакция полимеразная цепная в «реальном времени»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реакция полимеразная цепная количественная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секвенирование</w:t>
            </w:r>
            <w:proofErr w:type="spellEnd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 ДНК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совпадение генетических профилей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сообщество биологическое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сообщество микробное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стандарт длины внутренний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i/>
                <w:iCs/>
                <w:sz w:val="28"/>
                <w:szCs w:val="28"/>
              </w:rPr>
              <w:t>типирование ДНК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встречаемости </w:t>
            </w: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аллеля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электрофореграмма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электрофорез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SNP-локус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50A97" w:rsidRPr="005C0AB1" w:rsidTr="00712AA1">
        <w:trPr>
          <w:trHeight w:val="308"/>
          <w:jc w:val="center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  <w:jc w:val="both"/>
            </w:pPr>
            <w:r w:rsidRPr="005C0AB1">
              <w:rPr>
                <w:rStyle w:val="None"/>
                <w:rFonts w:ascii="Times New Roman" w:hAnsi="Times New Roman"/>
                <w:b/>
                <w:bCs/>
                <w:sz w:val="28"/>
                <w:szCs w:val="28"/>
              </w:rPr>
              <w:t>STR-локус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jc w:val="right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D50A97" w:rsidRPr="005C0AB1" w:rsidRDefault="00A62FF6">
      <w:pPr>
        <w:widowControl/>
        <w:suppressAutoHyphens w:val="0"/>
      </w:pPr>
      <w:r w:rsidRPr="005C0AB1">
        <w:rPr>
          <w:rStyle w:val="None"/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D50A97" w:rsidRPr="005C0AB1" w:rsidRDefault="00A62FF6">
      <w:pPr>
        <w:pStyle w:val="210"/>
        <w:spacing w:before="240"/>
        <w:ind w:left="0"/>
        <w:jc w:val="center"/>
        <w:rPr>
          <w:rStyle w:val="None"/>
          <w:rFonts w:ascii="Times New Roman" w:hAnsi="Times New Roman" w:cs="Times New Roman"/>
          <w:b/>
          <w:bCs/>
          <w:sz w:val="28"/>
          <w:szCs w:val="28"/>
        </w:rPr>
      </w:pPr>
      <w:r w:rsidRPr="005C0AB1">
        <w:rPr>
          <w:rStyle w:val="None"/>
          <w:rFonts w:ascii="Times New Roman" w:hAnsi="Times New Roman" w:cs="Times New Roman"/>
          <w:b/>
          <w:bCs/>
          <w:sz w:val="28"/>
          <w:szCs w:val="28"/>
        </w:rPr>
        <w:lastRenderedPageBreak/>
        <w:t>Алфавитный указатель эквивалентов терминов на английском языке</w:t>
      </w:r>
    </w:p>
    <w:tbl>
      <w:tblPr>
        <w:tblStyle w:val="TableNormal"/>
        <w:tblW w:w="9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14"/>
        <w:gridCol w:w="1276"/>
      </w:tblGrid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pStyle w:val="210"/>
              <w:spacing w:line="360" w:lineRule="auto"/>
              <w:ind w:left="0"/>
              <w:jc w:val="both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allele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allele frequency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mplification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tabs>
                <w:tab w:val="left" w:pos="317"/>
              </w:tabs>
              <w:spacing w:line="360" w:lineRule="auto"/>
              <w:ind w:firstLine="35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autosome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tabs>
                <w:tab w:val="left" w:pos="317"/>
              </w:tabs>
              <w:spacing w:line="360" w:lineRule="auto"/>
              <w:ind w:firstLine="35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iocenosis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tabs>
                <w:tab w:val="left" w:pos="317"/>
              </w:tabs>
              <w:spacing w:line="360" w:lineRule="auto"/>
              <w:ind w:firstLine="35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iogenome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6670E2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B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iological</w:t>
            </w:r>
            <w:proofErr w:type="spellEnd"/>
            <w:r w:rsidR="00982A5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community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670E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iological</w:t>
            </w:r>
            <w:proofErr w:type="spellEnd"/>
            <w:r w:rsidR="00982A5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material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hloroplast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DNA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ind w:firstLine="35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ontamination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 barcoding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 degradation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DNA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sequencing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DNA-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database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-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profile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DNA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-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typing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lectrophoregram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lectrophoresis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6670E2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</w:t>
            </w:r>
            <w:proofErr w:type="spellEnd"/>
            <w:r w:rsidR="00982A5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feature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6670E2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</w:t>
            </w:r>
            <w:proofErr w:type="spellEnd"/>
            <w:r w:rsidR="00982A5A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identification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lastRenderedPageBreak/>
              <w:t>genetic marker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genetic profiles match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6670E2" w:rsidP="00F1156F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enetical</w:t>
            </w:r>
            <w:proofErr w:type="spellEnd"/>
            <w:r w:rsidR="00F1156F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sex</w:t>
            </w:r>
            <w:proofErr w:type="spellEnd"/>
            <w:r w:rsidR="00F1156F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d</w:t>
            </w:r>
            <w:r w:rsidR="00F1156F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termination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7A1B23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genome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genotype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ind w:firstLine="35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haplogroup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  <w:ind w:firstLine="35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aplotype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eterozygosity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omozygosity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C87A65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nternal</w:t>
            </w:r>
            <w:proofErr w:type="spellEnd"/>
            <w:r w:rsidR="002D7FB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size</w:t>
            </w:r>
            <w:proofErr w:type="spellEnd"/>
            <w:r w:rsidR="002D7FBE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ocus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ysis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metagenom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C87A65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icrobial</w:t>
            </w:r>
            <w:proofErr w:type="spellEnd"/>
            <w:r w:rsidR="009E0EA9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community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mtDNA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nDNA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negative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 w:rsidP="00C87A65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negative extraction control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nuclear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DNA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C87A65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ucleic</w:t>
            </w:r>
            <w:proofErr w:type="spellEnd"/>
            <w:r w:rsidR="009E0EA9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acid</w:t>
            </w:r>
            <w:proofErr w:type="spellEnd"/>
            <w:r w:rsidR="009E0EA9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hybridization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PCR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PCR 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nhibitor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6112A2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lastRenderedPageBreak/>
              <w:t>polymerase chain reaction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olymorphism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opulation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C87A65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ositive</w:t>
            </w:r>
            <w:proofErr w:type="spellEnd"/>
            <w:r w:rsidR="00594C72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amplification</w:t>
            </w:r>
            <w:proofErr w:type="spellEnd"/>
            <w:r w:rsidR="00594C72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left="33"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rimer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9A5493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andom</w:t>
            </w:r>
            <w:proofErr w:type="spellEnd"/>
            <w:r w:rsidR="00594C72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atc</w:t>
            </w:r>
            <w:proofErr w:type="spellEnd"/>
            <w:r w:rsidR="00594C72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h</w:t>
            </w:r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="00A62FF6"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robability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proofErr w:type="spellStart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real-time</w:t>
            </w:r>
            <w:proofErr w:type="spellEnd"/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 PCR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reference sample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short tandem repeat locus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STR-locus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50A97" w:rsidRPr="005C0AB1">
        <w:trPr>
          <w:trHeight w:val="308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single nucleotide polymorphism locus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50A97" w:rsidRPr="005C0AB1">
        <w:trPr>
          <w:trHeight w:val="782"/>
          <w:jc w:val="center"/>
        </w:trPr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:rsidR="00D50A97" w:rsidRPr="005C0AB1" w:rsidRDefault="00A62FF6">
            <w:pPr>
              <w:spacing w:line="360" w:lineRule="auto"/>
              <w:ind w:right="62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  <w:lang w:val="en-US"/>
              </w:rPr>
              <w:t>SNP-locus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97" w:rsidRPr="005C0AB1" w:rsidRDefault="00A62FF6">
            <w:pPr>
              <w:spacing w:line="360" w:lineRule="auto"/>
            </w:pPr>
            <w:r w:rsidRPr="005C0AB1">
              <w:rPr>
                <w:rStyle w:val="None"/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D50A97" w:rsidRPr="005C0AB1" w:rsidRDefault="00D50A97">
      <w:pPr>
        <w:pStyle w:val="210"/>
        <w:spacing w:before="240" w:line="240" w:lineRule="auto"/>
        <w:ind w:hanging="283"/>
        <w:jc w:val="center"/>
        <w:rPr>
          <w:rStyle w:val="None"/>
          <w:b/>
          <w:bCs/>
          <w:sz w:val="28"/>
          <w:szCs w:val="28"/>
        </w:rPr>
      </w:pPr>
    </w:p>
    <w:p w:rsidR="00D50A97" w:rsidRPr="005C0AB1" w:rsidRDefault="00A62FF6">
      <w:pPr>
        <w:widowControl/>
        <w:suppressAutoHyphens w:val="0"/>
      </w:pPr>
      <w:r w:rsidRPr="005C0AB1">
        <w:rPr>
          <w:rStyle w:val="None"/>
          <w:rFonts w:ascii="Arial Unicode MS" w:eastAsia="Arial Unicode MS" w:hAnsi="Arial Unicode MS" w:cs="Arial Unicode MS"/>
          <w:color w:val="2D2D2D"/>
          <w:spacing w:val="2"/>
          <w:sz w:val="28"/>
          <w:szCs w:val="28"/>
          <w:u w:color="2D2D2D"/>
          <w:shd w:val="clear" w:color="auto" w:fill="FFFFFF"/>
        </w:rPr>
        <w:br w:type="page"/>
      </w:r>
    </w:p>
    <w:p w:rsidR="000032CA" w:rsidRDefault="000032CA">
      <w:pPr>
        <w:tabs>
          <w:tab w:val="left" w:pos="4111"/>
          <w:tab w:val="left" w:pos="6804"/>
          <w:tab w:val="left" w:pos="8222"/>
        </w:tabs>
        <w:spacing w:before="240"/>
        <w:rPr>
          <w:rStyle w:val="None"/>
          <w:rFonts w:ascii="Times New Roman" w:hAnsi="Times New Roman" w:cs="Times New Roman"/>
          <w:sz w:val="28"/>
          <w:szCs w:val="28"/>
        </w:rPr>
      </w:pPr>
    </w:p>
    <w:p w:rsidR="00D50A97" w:rsidRPr="005C0AB1" w:rsidRDefault="00A62FF6">
      <w:pPr>
        <w:tabs>
          <w:tab w:val="left" w:pos="4111"/>
          <w:tab w:val="left" w:pos="6804"/>
          <w:tab w:val="left" w:pos="8222"/>
        </w:tabs>
        <w:spacing w:before="240"/>
        <w:rPr>
          <w:rStyle w:val="None"/>
          <w:rFonts w:ascii="Times New Roman" w:hAnsi="Times New Roman" w:cs="Times New Roman"/>
          <w:sz w:val="28"/>
          <w:szCs w:val="28"/>
        </w:rPr>
      </w:pPr>
      <w:r w:rsidRPr="005C0AB1">
        <w:rPr>
          <w:rStyle w:val="None"/>
          <w:rFonts w:ascii="Times New Roman" w:hAnsi="Times New Roman" w:cs="Times New Roman"/>
          <w:sz w:val="28"/>
          <w:szCs w:val="28"/>
        </w:rPr>
        <w:t>УДК</w:t>
      </w:r>
      <w:r w:rsidRPr="005C0AB1">
        <w:rPr>
          <w:rStyle w:val="None"/>
          <w:rFonts w:ascii="Times New Roman" w:hAnsi="Times New Roman" w:cs="Times New Roman"/>
          <w:sz w:val="28"/>
          <w:szCs w:val="28"/>
        </w:rPr>
        <w:tab/>
        <w:t xml:space="preserve">МКС </w:t>
      </w:r>
    </w:p>
    <w:p w:rsidR="00D50A97" w:rsidRPr="005C0AB1" w:rsidRDefault="00D50A97">
      <w:pPr>
        <w:jc w:val="both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A97" w:rsidRPr="005C0AB1" w:rsidRDefault="00A62FF6">
      <w:pPr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5C0AB1">
        <w:rPr>
          <w:rStyle w:val="None"/>
          <w:rFonts w:ascii="Times New Roman" w:hAnsi="Times New Roman" w:cs="Times New Roman"/>
          <w:sz w:val="28"/>
          <w:szCs w:val="28"/>
        </w:rPr>
        <w:t>Ключевые слова:</w:t>
      </w:r>
      <w:r w:rsidR="00D33C20">
        <w:rPr>
          <w:rStyle w:val="None"/>
          <w:rFonts w:ascii="Times New Roman" w:hAnsi="Times New Roman" w:cs="Times New Roman"/>
          <w:sz w:val="28"/>
          <w:szCs w:val="28"/>
        </w:rPr>
        <w:t xml:space="preserve"> </w:t>
      </w:r>
      <w:r w:rsidRPr="005C0AB1">
        <w:rPr>
          <w:rStyle w:val="None"/>
          <w:rFonts w:ascii="Times New Roman" w:hAnsi="Times New Roman" w:cs="Times New Roman"/>
          <w:sz w:val="28"/>
          <w:szCs w:val="28"/>
        </w:rPr>
        <w:t>судебная молекулярно-генетическая экспертиза объектов дикой флоры и фауны, ДНК, генотип</w:t>
      </w:r>
    </w:p>
    <w:p w:rsidR="000F1A95" w:rsidRPr="005C0AB1" w:rsidRDefault="000F1A95">
      <w:pPr>
        <w:jc w:val="both"/>
        <w:rPr>
          <w:rStyle w:val="None"/>
          <w:rFonts w:ascii="Times New Roman" w:hAnsi="Times New Roman" w:cs="Times New Roman"/>
          <w:sz w:val="28"/>
          <w:szCs w:val="28"/>
        </w:rPr>
      </w:pPr>
    </w:p>
    <w:p w:rsidR="000F1A95" w:rsidRDefault="006C7D15">
      <w:pPr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5C0AB1">
        <w:rPr>
          <w:rStyle w:val="None"/>
          <w:rFonts w:ascii="Times New Roman" w:hAnsi="Times New Roman" w:cs="Times New Roman"/>
          <w:sz w:val="28"/>
          <w:szCs w:val="28"/>
        </w:rPr>
        <w:t>Федеральное бюджетное учреждение Российский федеральный центр судебной экспертизы при Министерстве юстиции Российской Федерации (ФБУ РФЦСЭ при Минюсте России)</w:t>
      </w:r>
    </w:p>
    <w:p w:rsidR="006C7D15" w:rsidRDefault="006C7D15">
      <w:pPr>
        <w:jc w:val="both"/>
        <w:rPr>
          <w:rStyle w:val="None"/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tblInd w:w="55" w:type="dxa"/>
        <w:tblBorders>
          <w:bottom w:val="single" w:sz="1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4"/>
        <w:gridCol w:w="2624"/>
        <w:gridCol w:w="2690"/>
        <w:gridCol w:w="2559"/>
      </w:tblGrid>
      <w:tr w:rsidR="00D33C20" w:rsidRPr="00313D2C" w:rsidTr="00B90E74">
        <w:tc>
          <w:tcPr>
            <w:tcW w:w="2624" w:type="dxa"/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Председатель МТК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</w:p>
        </w:tc>
        <w:tc>
          <w:tcPr>
            <w:tcW w:w="2624" w:type="dxa"/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  <w:t>Директор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должность</w:t>
            </w:r>
          </w:p>
        </w:tc>
        <w:tc>
          <w:tcPr>
            <w:tcW w:w="2690" w:type="dxa"/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________________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личная подпись</w:t>
            </w:r>
          </w:p>
        </w:tc>
        <w:tc>
          <w:tcPr>
            <w:tcW w:w="2559" w:type="dxa"/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  <w:t>С.А. Смирнова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bdr w:val="none" w:sz="0" w:space="0" w:color="auto"/>
                <w:lang w:eastAsia="zh-CN"/>
              </w:rPr>
              <w:t>инициалы, фамилия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</w:p>
        </w:tc>
      </w:tr>
      <w:tr w:rsidR="00D33C20" w:rsidRPr="00313D2C" w:rsidTr="00B90E74">
        <w:tc>
          <w:tcPr>
            <w:tcW w:w="2624" w:type="dxa"/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Руководитель разработки</w:t>
            </w:r>
          </w:p>
        </w:tc>
        <w:tc>
          <w:tcPr>
            <w:tcW w:w="2624" w:type="dxa"/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  <w:t>Директор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должность</w:t>
            </w:r>
          </w:p>
        </w:tc>
        <w:tc>
          <w:tcPr>
            <w:tcW w:w="2690" w:type="dxa"/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_________________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личная подпись</w:t>
            </w:r>
          </w:p>
        </w:tc>
        <w:tc>
          <w:tcPr>
            <w:tcW w:w="2559" w:type="dxa"/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  <w:t>С.А. Смирнова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bdr w:val="none" w:sz="0" w:space="0" w:color="auto"/>
                <w:lang w:eastAsia="zh-CN"/>
              </w:rPr>
              <w:t>инициалы, фамилия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</w:p>
        </w:tc>
      </w:tr>
      <w:tr w:rsidR="00D33C20" w:rsidRPr="00313D2C" w:rsidTr="00B90E74">
        <w:tc>
          <w:tcPr>
            <w:tcW w:w="2624" w:type="dxa"/>
            <w:tcBorders>
              <w:bottom w:val="nil"/>
            </w:tcBorders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Исполнитель</w:t>
            </w:r>
          </w:p>
        </w:tc>
        <w:tc>
          <w:tcPr>
            <w:tcW w:w="2624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  <w:t>Заместитель директора</w:t>
            </w:r>
          </w:p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должность</w:t>
            </w:r>
          </w:p>
        </w:tc>
        <w:tc>
          <w:tcPr>
            <w:tcW w:w="2690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_________________</w:t>
            </w:r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  <w:t>личная подпись</w:t>
            </w:r>
          </w:p>
        </w:tc>
        <w:tc>
          <w:tcPr>
            <w:tcW w:w="2559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  <w:t xml:space="preserve">Г.Г. </w:t>
            </w:r>
            <w:proofErr w:type="spellStart"/>
            <w:r w:rsidRPr="00313D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  <w:t>Омельянюк</w:t>
            </w:r>
            <w:proofErr w:type="spellEnd"/>
          </w:p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  <w:bdr w:val="none" w:sz="0" w:space="0" w:color="auto"/>
                <w:lang w:eastAsia="zh-CN"/>
              </w:rPr>
            </w:pPr>
            <w:r w:rsidRPr="00313D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  <w:bdr w:val="none" w:sz="0" w:space="0" w:color="auto"/>
                <w:lang w:eastAsia="zh-CN"/>
              </w:rPr>
              <w:t>инициалы, фамилия</w:t>
            </w:r>
          </w:p>
        </w:tc>
      </w:tr>
      <w:tr w:rsidR="00D33C20" w:rsidRPr="00313D2C" w:rsidTr="00B90E74">
        <w:tc>
          <w:tcPr>
            <w:tcW w:w="2624" w:type="dxa"/>
            <w:tcBorders>
              <w:bottom w:val="nil"/>
            </w:tcBorders>
          </w:tcPr>
          <w:p w:rsidR="00D33C20" w:rsidRPr="00313D2C" w:rsidRDefault="00D33C20" w:rsidP="00B90E74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bdr w:val="none" w:sz="0" w:space="0" w:color="auto"/>
                <w:lang w:eastAsia="zh-CN"/>
              </w:rPr>
            </w:pPr>
          </w:p>
        </w:tc>
        <w:tc>
          <w:tcPr>
            <w:tcW w:w="2624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zh-CN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</w:p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</w:p>
          <w:p w:rsidR="00D33C20" w:rsidRPr="00313D2C" w:rsidRDefault="00D33C20" w:rsidP="00B90E7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/>
                <w:lang w:eastAsia="en-US"/>
              </w:rPr>
            </w:pPr>
          </w:p>
        </w:tc>
      </w:tr>
    </w:tbl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>
      <w:pPr>
        <w:spacing w:before="240"/>
        <w:ind w:left="55" w:hanging="55"/>
      </w:pPr>
    </w:p>
    <w:p w:rsidR="00501737" w:rsidRPr="001B26A3" w:rsidRDefault="00501737" w:rsidP="00501737">
      <w:pPr>
        <w:spacing w:before="240"/>
      </w:pPr>
    </w:p>
    <w:p w:rsidR="00540D07" w:rsidRDefault="00540D07">
      <w:pPr>
        <w:spacing w:before="240"/>
        <w:ind w:left="55" w:hanging="55"/>
        <w:sectPr w:rsidR="00540D07" w:rsidSect="001B26A3">
          <w:footerReference w:type="even" r:id="rId22"/>
          <w:pgSz w:w="11900" w:h="16840"/>
          <w:pgMar w:top="1134" w:right="851" w:bottom="1134" w:left="1701" w:header="709" w:footer="117" w:gutter="0"/>
          <w:pgNumType w:start="2"/>
          <w:cols w:space="720"/>
          <w:docGrid w:linePitch="272"/>
        </w:sectPr>
      </w:pP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lastRenderedPageBreak/>
        <w:t xml:space="preserve">МЕЖГОСУДАРСТВЕННЫЙ </w:t>
      </w: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СОВЕТ ПО СТАНДАРТИЗАЦИИ, МЕТРОЛОГИИ И СЕРТИФИКАЦИИ</w:t>
      </w: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МГ</w:t>
      </w: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C)</w:t>
      </w: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en-US"/>
        </w:rPr>
      </w:pP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INTERSTATE</w:t>
      </w: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 xml:space="preserve"> COUNCIL FOR STANDARDIZATION, METROLOGY AND CERTIFICATION</w:t>
      </w: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(I</w:t>
      </w:r>
      <w:r w:rsidRPr="00440160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>SC)</w:t>
      </w:r>
    </w:p>
    <w:p w:rsidR="0016337B" w:rsidRPr="00440160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440160">
        <w:rPr>
          <w:rFonts w:ascii="Times New Roman" w:hAnsi="Times New Roman" w:cs="Times New Roman"/>
          <w:spacing w:val="-20"/>
          <w:sz w:val="24"/>
          <w:szCs w:val="24"/>
        </w:rPr>
        <w:t>------------------------------------------------------------------------------------------------------------------------------------------------------------</w:t>
      </w:r>
    </w:p>
    <w:tbl>
      <w:tblPr>
        <w:tblStyle w:val="TableNormal"/>
        <w:tblW w:w="86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63"/>
        <w:gridCol w:w="4854"/>
        <w:gridCol w:w="1382"/>
      </w:tblGrid>
      <w:tr w:rsidR="0016337B" w:rsidRPr="0016337B" w:rsidTr="000050FC">
        <w:trPr>
          <w:trHeight w:val="1848"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6337B" w:rsidRDefault="0016337B" w:rsidP="0016337B">
            <w:pPr>
              <w:pStyle w:val="1"/>
              <w:widowControl/>
              <w:suppressAutoHyphens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50"/>
                <w:sz w:val="28"/>
                <w:szCs w:val="28"/>
              </w:rPr>
              <w:t>МЕЖГОСУДАРСТВЕННЫЙ</w:t>
            </w:r>
          </w:p>
          <w:p w:rsidR="0016337B" w:rsidRDefault="0016337B" w:rsidP="0016337B">
            <w:pPr>
              <w:pStyle w:val="1"/>
              <w:widowControl/>
              <w:suppressAutoHyphens w:val="0"/>
              <w:spacing w:line="360" w:lineRule="auto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Pr="0016337B" w:rsidRDefault="0016337B" w:rsidP="00005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337B" w:rsidRPr="0016337B" w:rsidRDefault="0016337B" w:rsidP="00005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37B">
              <w:rPr>
                <w:rFonts w:ascii="Times New Roman" w:hAnsi="Times New Roman"/>
                <w:b/>
                <w:bCs/>
                <w:sz w:val="28"/>
                <w:szCs w:val="28"/>
              </w:rPr>
              <w:t>ГОСТ</w:t>
            </w:r>
          </w:p>
          <w:p w:rsidR="0016337B" w:rsidRPr="0016337B" w:rsidRDefault="0016337B" w:rsidP="00005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проект </w:t>
            </w:r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RU</w:t>
            </w:r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16337B" w:rsidRPr="0016337B" w:rsidRDefault="0016337B" w:rsidP="000050FC">
            <w:pPr>
              <w:tabs>
                <w:tab w:val="center" w:pos="611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</w:t>
            </w:r>
            <w:proofErr w:type="spellEnd"/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-тельная</w:t>
            </w:r>
            <w:proofErr w:type="gramEnd"/>
            <w:r w:rsidRPr="001633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ab/>
              <w:t>редакция</w:t>
            </w:r>
          </w:p>
        </w:tc>
      </w:tr>
    </w:tbl>
    <w:p w:rsidR="0016337B" w:rsidRDefault="0016337B" w:rsidP="0016337B">
      <w:pPr>
        <w:pBdr>
          <w:bottom w:val="single" w:sz="16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Pr="00B81196" w:rsidRDefault="0016337B" w:rsidP="00163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СУДЕБНАЯ МОЛЕКУЛЯРНО-ГЕНЕТИЧЕСКАЯ ЭКСПЕРТИЗА ОБЪЕКТОВ ДИКОЙ ФЛОРЫ И ФАУНЫ</w:t>
      </w:r>
    </w:p>
    <w:p w:rsidR="0016337B" w:rsidRPr="00B81196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Pr="00B81196" w:rsidRDefault="0016337B" w:rsidP="001633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16337B" w:rsidRPr="00B81196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Pr="00B81196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37B" w:rsidRPr="00B81196" w:rsidRDefault="0016337B" w:rsidP="001633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Издание официальное</w:t>
      </w: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Default="0016337B" w:rsidP="001633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</w:t>
      </w:r>
    </w:p>
    <w:p w:rsidR="0016337B" w:rsidRPr="00B81196" w:rsidRDefault="0016337B" w:rsidP="001633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Стандартинформ</w:t>
      </w:r>
      <w:proofErr w:type="spellEnd"/>
    </w:p>
    <w:p w:rsidR="0016337B" w:rsidRPr="00B81196" w:rsidRDefault="0016337B" w:rsidP="001633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196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16337B" w:rsidRDefault="0016337B" w:rsidP="0016337B">
      <w:pPr>
        <w:jc w:val="center"/>
        <w:sectPr w:rsidR="0016337B" w:rsidSect="005938B8">
          <w:pgSz w:w="11900" w:h="16840"/>
          <w:pgMar w:top="1134" w:right="851" w:bottom="1134" w:left="1701" w:header="709" w:footer="117" w:gutter="0"/>
          <w:pgNumType w:start="2"/>
          <w:cols w:space="720"/>
          <w:titlePg/>
          <w:docGrid w:linePitch="272"/>
        </w:sectPr>
      </w:pPr>
    </w:p>
    <w:p w:rsidR="00A96BC5" w:rsidRDefault="00A96BC5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37B" w:rsidRPr="00B81196" w:rsidRDefault="0016337B" w:rsidP="0016337B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96">
        <w:rPr>
          <w:rFonts w:ascii="Times New Roman" w:hAnsi="Times New Roman" w:cs="Times New Roman"/>
          <w:b/>
          <w:bCs/>
          <w:sz w:val="28"/>
          <w:szCs w:val="28"/>
        </w:rPr>
        <w:t>Предисловие</w:t>
      </w:r>
    </w:p>
    <w:p w:rsidR="0016337B" w:rsidRPr="00B81196" w:rsidRDefault="0016337B" w:rsidP="0016337B">
      <w:pPr>
        <w:pStyle w:val="21"/>
        <w:shd w:val="clear" w:color="auto" w:fill="auto"/>
        <w:spacing w:before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Цели, основные принципы и общие правила проведения работ по межгосударственной стандартизации установлены ГОСТ 1.0–2015 «Межгосударственная система стандартизации. Основные положения» и ГОСТ 1.2–2015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отмены».</w:t>
      </w:r>
    </w:p>
    <w:p w:rsidR="0016337B" w:rsidRPr="00440160" w:rsidRDefault="0016337B" w:rsidP="0016337B">
      <w:pPr>
        <w:widowControl/>
        <w:suppressAutoHyphens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0160">
        <w:rPr>
          <w:rFonts w:ascii="Times New Roman" w:hAnsi="Times New Roman" w:cs="Times New Roman"/>
          <w:b/>
          <w:bCs/>
          <w:sz w:val="28"/>
          <w:szCs w:val="28"/>
        </w:rPr>
        <w:t>Сведения о стандарте</w:t>
      </w:r>
    </w:p>
    <w:p w:rsidR="0016337B" w:rsidRPr="00B81196" w:rsidRDefault="0016337B" w:rsidP="0016337B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1  РАЗРАБОТАН Федеральным бюджетным учреждением "Российский федеральный центр судебной экспертизы при Министерстве юстиции Российской Федерации" совместно с Федеральным государственным бюджетным учреждением "Российский центр судебно-медицинской экспертизы" Министерства здравоохранения Российской Федерации, Следственным комитетом Российской Федерации, Федеральным государственным казенным учреждением "Экспертно-криминалистический центр Министерства внутр</w:t>
      </w:r>
      <w:r w:rsidR="009311FE">
        <w:rPr>
          <w:rFonts w:ascii="Times New Roman" w:hAnsi="Times New Roman" w:cs="Times New Roman"/>
          <w:sz w:val="28"/>
          <w:szCs w:val="28"/>
        </w:rPr>
        <w:t>енних дел Российской Федерации"</w:t>
      </w:r>
      <w:r w:rsidRPr="00B81196">
        <w:rPr>
          <w:rFonts w:ascii="Times New Roman" w:hAnsi="Times New Roman" w:cs="Times New Roman"/>
          <w:sz w:val="28"/>
          <w:szCs w:val="28"/>
        </w:rPr>
        <w:t>.</w:t>
      </w:r>
    </w:p>
    <w:p w:rsidR="0016337B" w:rsidRPr="00B81196" w:rsidRDefault="0016337B" w:rsidP="0016337B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2  </w:t>
      </w:r>
      <w:proofErr w:type="gramStart"/>
      <w:r w:rsidRPr="00B81196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B81196">
        <w:rPr>
          <w:rFonts w:ascii="Times New Roman" w:hAnsi="Times New Roman" w:cs="Times New Roman"/>
          <w:sz w:val="28"/>
          <w:szCs w:val="28"/>
        </w:rPr>
        <w:t xml:space="preserve"> Техническим комитетом МТК 545 «Судебная экспертиза».</w:t>
      </w:r>
    </w:p>
    <w:p w:rsidR="0016337B" w:rsidRPr="00726091" w:rsidRDefault="0016337B" w:rsidP="0016337B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3  ПРИНЯТ Межгосударственным советом по стандартиз</w:t>
      </w:r>
      <w:r w:rsidR="00726091">
        <w:rPr>
          <w:rFonts w:ascii="Times New Roman" w:hAnsi="Times New Roman" w:cs="Times New Roman"/>
          <w:sz w:val="28"/>
          <w:szCs w:val="28"/>
        </w:rPr>
        <w:t>ации, метрологии и сертификации (протокол от         2020 г</w:t>
      </w:r>
      <w:r w:rsidR="00726091" w:rsidRPr="00726091">
        <w:rPr>
          <w:rFonts w:ascii="Times New Roman" w:hAnsi="Times New Roman" w:cs="Times New Roman"/>
          <w:sz w:val="28"/>
          <w:szCs w:val="28"/>
        </w:rPr>
        <w:t>.</w:t>
      </w:r>
      <w:r w:rsidR="00726091">
        <w:rPr>
          <w:rFonts w:ascii="Times New Roman" w:hAnsi="Times New Roman" w:cs="Times New Roman"/>
          <w:sz w:val="28"/>
          <w:szCs w:val="28"/>
        </w:rPr>
        <w:t xml:space="preserve"> N</w:t>
      </w:r>
      <w:proofErr w:type="gramStart"/>
      <w:r w:rsidR="00726091" w:rsidRPr="00726091">
        <w:rPr>
          <w:rFonts w:ascii="Times New Roman" w:hAnsi="Times New Roman" w:cs="Times New Roman"/>
          <w:sz w:val="28"/>
          <w:szCs w:val="28"/>
        </w:rPr>
        <w:t xml:space="preserve">     )</w:t>
      </w:r>
      <w:proofErr w:type="gramEnd"/>
    </w:p>
    <w:p w:rsidR="0016337B" w:rsidRPr="00B81196" w:rsidRDefault="0016337B" w:rsidP="0016337B">
      <w:pPr>
        <w:widowControl/>
        <w:suppressAutoHyphens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1196">
        <w:rPr>
          <w:rFonts w:ascii="Times New Roman" w:hAnsi="Times New Roman" w:cs="Times New Roman"/>
          <w:sz w:val="28"/>
          <w:szCs w:val="28"/>
        </w:rPr>
        <w:t>За принятие проголосовали: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3168"/>
        <w:gridCol w:w="3170"/>
        <w:gridCol w:w="3170"/>
      </w:tblGrid>
      <w:tr w:rsidR="0016337B" w:rsidTr="000050FC">
        <w:trPr>
          <w:trHeight w:val="953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>
            <w:pPr>
              <w:widowControl/>
              <w:suppressAutoHyphens w:val="0"/>
              <w:spacing w:before="100" w:after="10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наименование страны по </w:t>
            </w:r>
            <w:hyperlink r:id="rId23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МК (ИСО 3166) 004-97</w:t>
              </w:r>
            </w:hyperlink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>
            <w:pPr>
              <w:widowControl/>
              <w:suppressAutoHyphens w:val="0"/>
              <w:spacing w:before="100" w:after="100"/>
              <w:jc w:val="center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Код страны </w:t>
            </w:r>
            <w:r>
              <w:rPr>
                <w:rStyle w:val="None"/>
                <w:rFonts w:ascii="Arial Unicode MS" w:eastAsia="Arial Unicode MS" w:hAnsi="Arial Unicode MS" w:cs="Arial Unicode MS"/>
                <w:sz w:val="28"/>
                <w:szCs w:val="28"/>
              </w:rPr>
              <w:br/>
            </w: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24" w:history="1">
              <w:r>
                <w:rPr>
                  <w:rStyle w:val="Hyperlink0"/>
                  <w:rFonts w:ascii="Times New Roman" w:hAnsi="Times New Roman"/>
                  <w:sz w:val="28"/>
                  <w:szCs w:val="28"/>
                </w:rPr>
                <w:t>МК (ИСО 3166) 004-97</w:t>
              </w:r>
            </w:hyperlink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>
            <w:pPr>
              <w:widowControl/>
              <w:suppressAutoHyphens w:val="0"/>
              <w:spacing w:before="100" w:after="100"/>
              <w:jc w:val="center"/>
            </w:pPr>
            <w:r>
              <w:rPr>
                <w:rStyle w:val="None"/>
                <w:rFonts w:ascii="Times New Roman" w:hAnsi="Times New Roman"/>
                <w:sz w:val="28"/>
                <w:szCs w:val="28"/>
              </w:rPr>
              <w:t xml:space="preserve">Сокращенное наименование национального органа по стандартизации </w:t>
            </w:r>
          </w:p>
        </w:tc>
      </w:tr>
      <w:tr w:rsidR="0016337B" w:rsidTr="000050FC">
        <w:trPr>
          <w:trHeight w:val="321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</w:tr>
      <w:tr w:rsidR="0016337B" w:rsidTr="000050FC">
        <w:trPr>
          <w:trHeight w:val="321"/>
        </w:trPr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37B" w:rsidRDefault="0016337B" w:rsidP="000050FC"/>
        </w:tc>
      </w:tr>
    </w:tbl>
    <w:p w:rsidR="0016337B" w:rsidRDefault="0016337B" w:rsidP="0016337B">
      <w:pPr>
        <w:suppressAutoHyphens w:val="0"/>
        <w:rPr>
          <w:rStyle w:val="None"/>
          <w:sz w:val="28"/>
          <w:szCs w:val="28"/>
        </w:rPr>
      </w:pPr>
    </w:p>
    <w:p w:rsidR="00726091" w:rsidRPr="00B81196" w:rsidRDefault="0016337B" w:rsidP="00726091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>4  </w:t>
      </w:r>
      <w:r w:rsidR="00726091">
        <w:rPr>
          <w:rStyle w:val="None"/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          </w:t>
      </w:r>
      <w:r w:rsidR="00726091">
        <w:rPr>
          <w:rFonts w:ascii="Times New Roman" w:hAnsi="Times New Roman" w:cs="Times New Roman"/>
          <w:sz w:val="28"/>
          <w:szCs w:val="28"/>
        </w:rPr>
        <w:t xml:space="preserve">N             межгосударственный стандарт </w:t>
      </w:r>
      <w:r w:rsidR="00726091" w:rsidRPr="00B81196">
        <w:rPr>
          <w:rStyle w:val="None"/>
          <w:rFonts w:ascii="Times New Roman" w:hAnsi="Times New Roman" w:cs="Times New Roman"/>
          <w:sz w:val="28"/>
          <w:szCs w:val="28"/>
        </w:rPr>
        <w:t>«Судебная молекулярно-генетическая экспертиза</w:t>
      </w:r>
      <w:r w:rsidR="00726091">
        <w:rPr>
          <w:rStyle w:val="None"/>
          <w:rFonts w:ascii="Times New Roman" w:hAnsi="Times New Roman" w:cs="Times New Roman"/>
          <w:sz w:val="28"/>
          <w:szCs w:val="28"/>
        </w:rPr>
        <w:t xml:space="preserve"> объектов дикой флоры и фауны</w:t>
      </w:r>
      <w:r w:rsidR="00726091" w:rsidRPr="00B81196">
        <w:rPr>
          <w:rStyle w:val="None"/>
          <w:rFonts w:ascii="Times New Roman" w:hAnsi="Times New Roman" w:cs="Times New Roman"/>
          <w:sz w:val="28"/>
          <w:szCs w:val="28"/>
        </w:rPr>
        <w:t>»</w:t>
      </w:r>
      <w:r w:rsidR="00726091">
        <w:rPr>
          <w:rStyle w:val="None"/>
          <w:rFonts w:ascii="Times New Roman" w:hAnsi="Times New Roman" w:cs="Times New Roman"/>
          <w:sz w:val="28"/>
          <w:szCs w:val="28"/>
        </w:rPr>
        <w:t xml:space="preserve"> введен в действие в качестве национального стандарта Российской Федерации с          20     г.</w:t>
      </w:r>
    </w:p>
    <w:p w:rsidR="0016337B" w:rsidRPr="00B81196" w:rsidRDefault="0016337B" w:rsidP="00726091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sz w:val="28"/>
          <w:szCs w:val="28"/>
        </w:rPr>
        <w:t xml:space="preserve">5  В настоящем стандарте реализованы положения национального стандарта ГОСТ </w:t>
      </w:r>
      <w:proofErr w:type="gramStart"/>
      <w:r w:rsidRPr="00B81196">
        <w:rPr>
          <w:rStyle w:val="None"/>
          <w:rFonts w:ascii="Times New Roman" w:hAnsi="Times New Roman" w:cs="Times New Roman"/>
          <w:sz w:val="28"/>
          <w:szCs w:val="28"/>
        </w:rPr>
        <w:t>Р</w:t>
      </w:r>
      <w:proofErr w:type="gramEnd"/>
      <w:r w:rsidRPr="00B81196">
        <w:rPr>
          <w:rStyle w:val="None"/>
          <w:rFonts w:ascii="Times New Roman" w:hAnsi="Times New Roman" w:cs="Times New Roman"/>
          <w:sz w:val="28"/>
          <w:szCs w:val="28"/>
        </w:rPr>
        <w:t xml:space="preserve"> 57343-2016 «Судебная молекулярно-генетическая экспертиза. Термины и определения».</w:t>
      </w:r>
    </w:p>
    <w:p w:rsidR="0016337B" w:rsidRDefault="0016337B" w:rsidP="00726091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D575C" w:rsidRDefault="00BD575C" w:rsidP="0016337B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i/>
          <w:iCs/>
          <w:sz w:val="28"/>
          <w:szCs w:val="28"/>
        </w:rPr>
      </w:pPr>
    </w:p>
    <w:p w:rsidR="00BD575C" w:rsidRPr="00BD575C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i/>
          <w:iCs/>
          <w:sz w:val="28"/>
          <w:szCs w:val="28"/>
        </w:rPr>
      </w:pP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Информация об изменениях к настоящему стандарту публикуется в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ежегодном информационном </w:t>
      </w: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указателе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«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Националь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ные стандарты»</w:t>
      </w: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, а текст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изменений и поправок</w:t>
      </w: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_-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ежемесячном информационном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указателе «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Националь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ные стандарты»</w:t>
      </w:r>
      <w:r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В случае пересмотра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(замены)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или отмены настоящего стандарта</w:t>
      </w:r>
      <w:r w:rsidR="00BD575C" w:rsidRP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соответствующ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ее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уведомление будет опубликовано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ежемесячном информационном 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указателе «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Националь</w:t>
      </w:r>
      <w:r w:rsidR="00BD575C" w:rsidRPr="00B81196">
        <w:rPr>
          <w:rStyle w:val="None"/>
          <w:rFonts w:ascii="Times New Roman" w:hAnsi="Times New Roman" w:cs="Times New Roman"/>
          <w:i/>
          <w:iCs/>
          <w:sz w:val="28"/>
          <w:szCs w:val="28"/>
        </w:rPr>
        <w:t>ные стандарты»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</w:t>
      </w:r>
      <w:r w:rsidR="00A96BC5">
        <w:rPr>
          <w:rStyle w:val="None"/>
          <w:rFonts w:ascii="Times New Roman" w:hAnsi="Times New Roman" w:cs="Times New Roman"/>
          <w:i/>
          <w:iCs/>
          <w:sz w:val="28"/>
          <w:szCs w:val="28"/>
        </w:rPr>
        <w:t xml:space="preserve"> и м</w:t>
      </w:r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етрологии в сети Интернет (www.gost/</w:t>
      </w:r>
      <w:proofErr w:type="spellStart"/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ru</w:t>
      </w:r>
      <w:proofErr w:type="spellEnd"/>
      <w:r w:rsidR="00BD575C">
        <w:rPr>
          <w:rStyle w:val="None"/>
          <w:rFonts w:ascii="Times New Roman" w:hAnsi="Times New Roman" w:cs="Times New Roman"/>
          <w:i/>
          <w:iCs/>
          <w:sz w:val="28"/>
          <w:szCs w:val="28"/>
        </w:rPr>
        <w:t>)</w:t>
      </w:r>
    </w:p>
    <w:p w:rsidR="00BD575C" w:rsidRDefault="00BD575C" w:rsidP="0016337B">
      <w:pPr>
        <w:widowControl/>
        <w:suppressAutoHyphens w:val="0"/>
        <w:ind w:firstLine="709"/>
        <w:jc w:val="both"/>
        <w:rPr>
          <w:rStyle w:val="None"/>
          <w:rFonts w:ascii="Times New Roman" w:hAnsi="Times New Roman" w:cs="Times New Roman"/>
          <w:i/>
          <w:iCs/>
          <w:sz w:val="28"/>
          <w:szCs w:val="28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B81196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37B" w:rsidRPr="00A96BC5" w:rsidRDefault="0016337B" w:rsidP="0016337B">
      <w:pPr>
        <w:widowControl/>
        <w:suppressAutoHyphens w:val="0"/>
        <w:ind w:firstLine="709"/>
        <w:jc w:val="both"/>
        <w:rPr>
          <w:rStyle w:val="None"/>
          <w:rFonts w:ascii="Times New Roman" w:eastAsia="Times New Roman" w:hAnsi="Times New Roman" w:cs="Times New Roman"/>
          <w:iCs/>
          <w:sz w:val="24"/>
          <w:szCs w:val="24"/>
        </w:rPr>
      </w:pPr>
    </w:p>
    <w:p w:rsidR="00501737" w:rsidRDefault="00A96BC5" w:rsidP="00A96BC5">
      <w:pPr>
        <w:widowControl/>
        <w:suppressAutoHyphens w:val="0"/>
        <w:jc w:val="right"/>
        <w:rPr>
          <w:rStyle w:val="None"/>
          <w:rFonts w:ascii="Times New Roman" w:eastAsia="Arial Unicode MS" w:hAnsi="Times New Roman" w:cs="Times New Roman"/>
          <w:b/>
          <w:color w:val="2D2D2D"/>
          <w:spacing w:val="2"/>
          <w:sz w:val="28"/>
          <w:szCs w:val="28"/>
          <w:u w:color="2D2D2D"/>
          <w:shd w:val="clear" w:color="auto" w:fill="FFFFFF"/>
        </w:rPr>
      </w:pPr>
      <w:proofErr w:type="spellStart"/>
      <w:r w:rsidRPr="00A96BC5">
        <w:rPr>
          <w:rStyle w:val="None"/>
          <w:rFonts w:ascii="Times New Roman" w:eastAsia="Arial Unicode MS" w:hAnsi="Times New Roman" w:cs="Times New Roman"/>
          <w:b/>
          <w:color w:val="2D2D2D"/>
          <w:spacing w:val="2"/>
          <w:sz w:val="28"/>
          <w:szCs w:val="28"/>
          <w:u w:color="2D2D2D"/>
          <w:shd w:val="clear" w:color="auto" w:fill="FFFFFF"/>
        </w:rPr>
        <w:t>Стандартинформ</w:t>
      </w:r>
      <w:proofErr w:type="spellEnd"/>
      <w:r w:rsidRPr="00A96BC5">
        <w:rPr>
          <w:rStyle w:val="None"/>
          <w:rFonts w:ascii="Times New Roman" w:eastAsia="Arial Unicode MS" w:hAnsi="Times New Roman" w:cs="Times New Roman"/>
          <w:b/>
          <w:color w:val="2D2D2D"/>
          <w:spacing w:val="2"/>
          <w:sz w:val="28"/>
          <w:szCs w:val="28"/>
          <w:u w:color="2D2D2D"/>
          <w:shd w:val="clear" w:color="auto" w:fill="FFFFFF"/>
        </w:rPr>
        <w:t>, оформление, 2020</w:t>
      </w:r>
    </w:p>
    <w:p w:rsidR="00A96BC5" w:rsidRDefault="00A96BC5" w:rsidP="00A96BC5">
      <w:pPr>
        <w:widowControl/>
        <w:suppressAutoHyphens w:val="0"/>
        <w:ind w:firstLine="709"/>
        <w:jc w:val="both"/>
        <w:rPr>
          <w:rStyle w:val="None"/>
          <w:rFonts w:ascii="Times New Roman" w:eastAsia="Arial Unicode MS" w:hAnsi="Times New Roman" w:cs="Times New Roman"/>
          <w:b/>
          <w:color w:val="2D2D2D"/>
          <w:spacing w:val="2"/>
          <w:sz w:val="28"/>
          <w:szCs w:val="28"/>
          <w:u w:color="2D2D2D"/>
          <w:shd w:val="clear" w:color="auto" w:fill="FFFFFF"/>
        </w:rPr>
      </w:pPr>
    </w:p>
    <w:p w:rsidR="00A96BC5" w:rsidRPr="00A96BC5" w:rsidRDefault="00A96BC5" w:rsidP="00A96BC5">
      <w:pPr>
        <w:widowControl/>
        <w:suppressAutoHyphens w:val="0"/>
        <w:ind w:firstLine="709"/>
        <w:jc w:val="both"/>
        <w:rPr>
          <w:rStyle w:val="None"/>
          <w:rFonts w:ascii="Times New Roman" w:eastAsia="Arial Unicode MS" w:hAnsi="Times New Roman" w:cs="Times New Roman"/>
          <w:color w:val="2D2D2D"/>
          <w:spacing w:val="2"/>
          <w:sz w:val="28"/>
          <w:szCs w:val="28"/>
          <w:u w:color="2D2D2D"/>
          <w:shd w:val="clear" w:color="auto" w:fill="FFFFFF"/>
        </w:rPr>
      </w:pPr>
      <w:r w:rsidRPr="00A96BC5">
        <w:rPr>
          <w:rStyle w:val="None"/>
          <w:rFonts w:ascii="Times New Roman" w:eastAsia="Arial Unicode MS" w:hAnsi="Times New Roman" w:cs="Times New Roman"/>
          <w:color w:val="2D2D2D"/>
          <w:spacing w:val="2"/>
          <w:sz w:val="28"/>
          <w:szCs w:val="28"/>
          <w:u w:color="2D2D2D"/>
          <w:shd w:val="clear" w:color="auto" w:fill="FFFFFF"/>
        </w:rPr>
        <w:t xml:space="preserve">В Российской Федерации </w:t>
      </w:r>
      <w:r>
        <w:rPr>
          <w:rStyle w:val="None"/>
          <w:rFonts w:ascii="Times New Roman" w:eastAsia="Arial Unicode MS" w:hAnsi="Times New Roman" w:cs="Times New Roman"/>
          <w:color w:val="2D2D2D"/>
          <w:spacing w:val="2"/>
          <w:sz w:val="28"/>
          <w:szCs w:val="28"/>
          <w:u w:color="2D2D2D"/>
          <w:shd w:val="clear" w:color="auto" w:fill="FFFFFF"/>
        </w:rPr>
        <w:t xml:space="preserve">национальный стандарт не может быть полностью или частично воспроизведен, тиражирован или распространен в качестве официального издания без разрешения Федерального </w:t>
      </w:r>
      <w:r w:rsidRPr="00A96BC5">
        <w:rPr>
          <w:rStyle w:val="None"/>
          <w:rFonts w:ascii="Times New Roman" w:hAnsi="Times New Roman" w:cs="Times New Roman"/>
          <w:iCs/>
          <w:sz w:val="28"/>
          <w:szCs w:val="28"/>
        </w:rPr>
        <w:t xml:space="preserve">агентства по техническому регулированию и </w:t>
      </w:r>
      <w:r>
        <w:rPr>
          <w:rStyle w:val="None"/>
          <w:rFonts w:ascii="Times New Roman" w:hAnsi="Times New Roman" w:cs="Times New Roman"/>
          <w:iCs/>
          <w:sz w:val="28"/>
          <w:szCs w:val="28"/>
        </w:rPr>
        <w:t>м</w:t>
      </w:r>
      <w:r w:rsidRPr="00A96BC5">
        <w:rPr>
          <w:rStyle w:val="None"/>
          <w:rFonts w:ascii="Times New Roman" w:hAnsi="Times New Roman" w:cs="Times New Roman"/>
          <w:iCs/>
          <w:sz w:val="28"/>
          <w:szCs w:val="28"/>
        </w:rPr>
        <w:t>етрологии</w:t>
      </w:r>
    </w:p>
    <w:p w:rsidR="00A96BC5" w:rsidRPr="00A96BC5" w:rsidRDefault="00A96BC5" w:rsidP="00A96BC5">
      <w:pPr>
        <w:widowControl/>
        <w:suppressAutoHyphens w:val="0"/>
        <w:ind w:firstLine="567"/>
        <w:jc w:val="both"/>
        <w:rPr>
          <w:rStyle w:val="None"/>
          <w:rFonts w:ascii="Times New Roman" w:eastAsia="Arial Unicode MS" w:hAnsi="Times New Roman" w:cs="Times New Roman"/>
          <w:color w:val="2D2D2D"/>
          <w:spacing w:val="2"/>
          <w:sz w:val="28"/>
          <w:szCs w:val="28"/>
          <w:u w:color="2D2D2D"/>
          <w:shd w:val="clear" w:color="auto" w:fill="FFFFFF"/>
        </w:rPr>
      </w:pPr>
    </w:p>
    <w:sectPr w:rsidR="00A96BC5" w:rsidRPr="00A96BC5" w:rsidSect="00CE6C1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134" w:right="851" w:bottom="1134" w:left="1701" w:header="709" w:footer="1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E" w:rsidRDefault="00665CDE" w:rsidP="00217BF2">
      <w:r>
        <w:separator/>
      </w:r>
    </w:p>
  </w:endnote>
  <w:endnote w:type="continuationSeparator" w:id="0">
    <w:p w:rsidR="00665CDE" w:rsidRDefault="00665CDE" w:rsidP="0021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Default="00665CDE" w:rsidP="00217BF2">
    <w:pPr>
      <w:pStyle w:val="a4"/>
      <w:tabs>
        <w:tab w:val="clear" w:pos="9355"/>
        <w:tab w:val="right" w:pos="9328"/>
      </w:tabs>
    </w:pPr>
    <w:r>
      <w:fldChar w:fldCharType="begin"/>
    </w:r>
    <w:r>
      <w:instrText xml:space="preserve"> PAGE </w:instrText>
    </w:r>
    <w:r>
      <w:fldChar w:fldCharType="separate"/>
    </w:r>
    <w:r w:rsidR="00501737"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3" w:rsidRDefault="00F07B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3" w:rsidRDefault="00F07B0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Default="00C47B18" w:rsidP="00217BF2">
    <w:pPr>
      <w:pStyle w:val="a4"/>
      <w:tabs>
        <w:tab w:val="clear" w:pos="9355"/>
        <w:tab w:val="right" w:pos="9328"/>
      </w:tabs>
      <w:rPr>
        <w:rFonts w:ascii="Times New Roman" w:hAnsi="Times New Roman" w:cs="Times New Roman"/>
      </w:rPr>
    </w:pPr>
    <w:r w:rsidRPr="002A01EC">
      <w:rPr>
        <w:rFonts w:ascii="Times New Roman" w:hAnsi="Times New Roman" w:cs="Times New Roman"/>
      </w:rPr>
      <w:fldChar w:fldCharType="begin"/>
    </w:r>
    <w:r w:rsidR="00501737" w:rsidRPr="002A01EC">
      <w:rPr>
        <w:rFonts w:ascii="Times New Roman" w:hAnsi="Times New Roman" w:cs="Times New Roman"/>
      </w:rPr>
      <w:instrText xml:space="preserve"> PAGE </w:instrText>
    </w:r>
    <w:r w:rsidRPr="002A01EC">
      <w:rPr>
        <w:rFonts w:ascii="Times New Roman" w:hAnsi="Times New Roman" w:cs="Times New Roman"/>
      </w:rPr>
      <w:fldChar w:fldCharType="separate"/>
    </w:r>
    <w:r w:rsidR="00A043AF">
      <w:rPr>
        <w:rFonts w:ascii="Times New Roman" w:hAnsi="Times New Roman" w:cs="Times New Roman"/>
        <w:noProof/>
      </w:rPr>
      <w:t>IV</w:t>
    </w:r>
    <w:r w:rsidRPr="002A01EC">
      <w:rPr>
        <w:rFonts w:ascii="Times New Roman" w:hAnsi="Times New Roman" w:cs="Times New Roman"/>
      </w:rPr>
      <w:fldChar w:fldCharType="end"/>
    </w:r>
  </w:p>
  <w:p w:rsidR="00501737" w:rsidRDefault="00501737" w:rsidP="00217BF2">
    <w:pPr>
      <w:pStyle w:val="a4"/>
      <w:tabs>
        <w:tab w:val="clear" w:pos="9355"/>
        <w:tab w:val="right" w:pos="9328"/>
      </w:tabs>
      <w:rPr>
        <w:rFonts w:ascii="Times New Roman" w:hAnsi="Times New Roman" w:cs="Times New Roman"/>
      </w:rPr>
    </w:pPr>
  </w:p>
  <w:p w:rsidR="00501737" w:rsidRPr="002A01EC" w:rsidRDefault="00501737" w:rsidP="00217BF2">
    <w:pPr>
      <w:pStyle w:val="a4"/>
      <w:tabs>
        <w:tab w:val="clear" w:pos="9355"/>
        <w:tab w:val="right" w:pos="9328"/>
      </w:tabs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Default="00C47B18" w:rsidP="00217BF2">
    <w:pPr>
      <w:pStyle w:val="a4"/>
      <w:tabs>
        <w:tab w:val="clear" w:pos="9355"/>
        <w:tab w:val="right" w:pos="9328"/>
      </w:tabs>
      <w:jc w:val="right"/>
      <w:rPr>
        <w:rFonts w:ascii="Times New Roman" w:hAnsi="Times New Roman" w:cs="Times New Roman"/>
      </w:rPr>
    </w:pPr>
    <w:r w:rsidRPr="00217BF2">
      <w:rPr>
        <w:rFonts w:ascii="Times New Roman" w:hAnsi="Times New Roman" w:cs="Times New Roman"/>
      </w:rPr>
      <w:fldChar w:fldCharType="begin"/>
    </w:r>
    <w:r w:rsidR="00501737" w:rsidRPr="00217BF2">
      <w:rPr>
        <w:rFonts w:ascii="Times New Roman" w:hAnsi="Times New Roman" w:cs="Times New Roman"/>
      </w:rPr>
      <w:instrText xml:space="preserve"> PAGE </w:instrText>
    </w:r>
    <w:r w:rsidRPr="00217BF2">
      <w:rPr>
        <w:rFonts w:ascii="Times New Roman" w:hAnsi="Times New Roman" w:cs="Times New Roman"/>
      </w:rPr>
      <w:fldChar w:fldCharType="separate"/>
    </w:r>
    <w:r w:rsidR="00A043AF">
      <w:rPr>
        <w:rFonts w:ascii="Times New Roman" w:hAnsi="Times New Roman" w:cs="Times New Roman"/>
        <w:noProof/>
      </w:rPr>
      <w:t>17</w:t>
    </w:r>
    <w:r w:rsidRPr="00217BF2">
      <w:rPr>
        <w:rFonts w:ascii="Times New Roman" w:hAnsi="Times New Roman" w:cs="Times New Roman"/>
      </w:rPr>
      <w:fldChar w:fldCharType="end"/>
    </w:r>
  </w:p>
  <w:p w:rsidR="00501737" w:rsidRDefault="00501737" w:rsidP="00217BF2">
    <w:pPr>
      <w:pStyle w:val="a4"/>
      <w:tabs>
        <w:tab w:val="clear" w:pos="9355"/>
        <w:tab w:val="right" w:pos="9328"/>
      </w:tabs>
      <w:jc w:val="right"/>
      <w:rPr>
        <w:rFonts w:ascii="Times New Roman" w:hAnsi="Times New Roman" w:cs="Times New Roman"/>
      </w:rPr>
    </w:pPr>
  </w:p>
  <w:p w:rsidR="00501737" w:rsidRPr="00217BF2" w:rsidRDefault="00501737" w:rsidP="00217BF2">
    <w:pPr>
      <w:pStyle w:val="a4"/>
      <w:tabs>
        <w:tab w:val="clear" w:pos="9355"/>
        <w:tab w:val="right" w:pos="9328"/>
      </w:tabs>
      <w:jc w:val="righ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7B" w:rsidRPr="001B26A3" w:rsidRDefault="006D41D8" w:rsidP="001B26A3">
    <w:pPr>
      <w:pStyle w:val="a4"/>
      <w:rPr>
        <w:lang w:val="en-US"/>
      </w:rPr>
    </w:pPr>
    <w:r>
      <w:rPr>
        <w:lang w:val="en-US"/>
      </w:rPr>
      <w:t>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Pr="001B26A3" w:rsidRDefault="006D41D8" w:rsidP="00217BF2">
    <w:pPr>
      <w:pStyle w:val="a4"/>
      <w:tabs>
        <w:tab w:val="clear" w:pos="9355"/>
        <w:tab w:val="right" w:pos="9328"/>
      </w:tabs>
      <w:rPr>
        <w:rFonts w:ascii="Times New Roman" w:hAnsi="Times New Roman" w:cs="Times New Roman"/>
        <w:lang w:val="en-US"/>
      </w:rPr>
    </w:pPr>
    <w:r>
      <w:rPr>
        <w:rStyle w:val="None"/>
        <w:rFonts w:ascii="Times New Roman" w:hAnsi="Times New Roman" w:cs="Times New Roman"/>
        <w:lang w:val="en-US"/>
      </w:rPr>
      <w:t>III</w:t>
    </w:r>
  </w:p>
  <w:p w:rsidR="00501737" w:rsidRDefault="00501737" w:rsidP="00217BF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Default="00C47B18" w:rsidP="00217BF2">
    <w:pPr>
      <w:pStyle w:val="a4"/>
      <w:tabs>
        <w:tab w:val="clear" w:pos="9355"/>
        <w:tab w:val="right" w:pos="9328"/>
      </w:tabs>
      <w:jc w:val="right"/>
      <w:rPr>
        <w:rStyle w:val="None"/>
        <w:rFonts w:ascii="Times New Roman" w:hAnsi="Times New Roman" w:cs="Times New Roman"/>
      </w:rPr>
    </w:pPr>
    <w:r w:rsidRPr="000F1A95">
      <w:rPr>
        <w:rStyle w:val="None"/>
        <w:rFonts w:ascii="Times New Roman" w:hAnsi="Times New Roman" w:cs="Times New Roman"/>
      </w:rPr>
      <w:fldChar w:fldCharType="begin"/>
    </w:r>
    <w:r w:rsidR="00501737" w:rsidRPr="000F1A95">
      <w:rPr>
        <w:rStyle w:val="None"/>
        <w:rFonts w:ascii="Times New Roman" w:hAnsi="Times New Roman" w:cs="Times New Roman"/>
      </w:rPr>
      <w:instrText xml:space="preserve"> PAGE </w:instrText>
    </w:r>
    <w:r w:rsidRPr="000F1A95">
      <w:rPr>
        <w:rStyle w:val="None"/>
        <w:rFonts w:ascii="Times New Roman" w:hAnsi="Times New Roman" w:cs="Times New Roman"/>
      </w:rPr>
      <w:fldChar w:fldCharType="separate"/>
    </w:r>
    <w:r w:rsidR="0016337B">
      <w:rPr>
        <w:rStyle w:val="None"/>
        <w:rFonts w:ascii="Times New Roman" w:hAnsi="Times New Roman" w:cs="Times New Roman"/>
        <w:noProof/>
      </w:rPr>
      <w:t>17</w:t>
    </w:r>
    <w:r w:rsidRPr="000F1A95">
      <w:rPr>
        <w:rStyle w:val="None"/>
        <w:rFonts w:ascii="Times New Roman" w:hAnsi="Times New Roman" w:cs="Times New Roman"/>
      </w:rPr>
      <w:fldChar w:fldCharType="end"/>
    </w:r>
  </w:p>
  <w:p w:rsidR="00501737" w:rsidRPr="000F1A95" w:rsidRDefault="00501737" w:rsidP="00217BF2">
    <w:pPr>
      <w:pStyle w:val="a4"/>
      <w:tabs>
        <w:tab w:val="clear" w:pos="9355"/>
        <w:tab w:val="right" w:pos="9328"/>
      </w:tabs>
      <w:jc w:val="right"/>
      <w:rPr>
        <w:rFonts w:ascii="Times New Roman" w:hAnsi="Times New Roman" w:cs="Times New Roma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Default="006D41D8" w:rsidP="00217BF2">
    <w:pPr>
      <w:pStyle w:val="a4"/>
      <w:tabs>
        <w:tab w:val="clear" w:pos="9355"/>
        <w:tab w:val="right" w:pos="9328"/>
      </w:tabs>
      <w:jc w:val="right"/>
      <w:rPr>
        <w:rStyle w:val="None"/>
      </w:rPr>
    </w:pPr>
    <w:r>
      <w:rPr>
        <w:rStyle w:val="None"/>
        <w:lang w:val="en-US"/>
      </w:rPr>
      <w:t>II</w:t>
    </w:r>
  </w:p>
  <w:p w:rsidR="00D33C20" w:rsidRPr="00D33C20" w:rsidRDefault="00D33C20" w:rsidP="00217BF2">
    <w:pPr>
      <w:pStyle w:val="a4"/>
      <w:tabs>
        <w:tab w:val="clear" w:pos="9355"/>
        <w:tab w:val="right" w:pos="932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E" w:rsidRDefault="00665CDE" w:rsidP="00217BF2">
      <w:r>
        <w:separator/>
      </w:r>
    </w:p>
  </w:footnote>
  <w:footnote w:type="continuationSeparator" w:id="0">
    <w:p w:rsidR="00665CDE" w:rsidRDefault="00665CDE" w:rsidP="00217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3" w:rsidRDefault="00F07B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3" w:rsidRDefault="00F07B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03" w:rsidRDefault="00F07B0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B8" w:rsidRPr="00440160" w:rsidRDefault="005938B8" w:rsidP="005938B8">
    <w:pPr>
      <w:pStyle w:val="a5"/>
      <w:tabs>
        <w:tab w:val="clear" w:pos="9355"/>
        <w:tab w:val="right" w:pos="9328"/>
      </w:tabs>
      <w:rPr>
        <w:rFonts w:ascii="Times New Roman" w:hAnsi="Times New Roman" w:cs="Times New Roman"/>
        <w:b/>
        <w:bCs/>
        <w:sz w:val="28"/>
        <w:szCs w:val="28"/>
      </w:rPr>
    </w:pPr>
    <w:r w:rsidRPr="00440160">
      <w:rPr>
        <w:rFonts w:ascii="Times New Roman" w:hAnsi="Times New Roman" w:cs="Times New Roman"/>
        <w:b/>
        <w:bCs/>
        <w:sz w:val="28"/>
        <w:szCs w:val="28"/>
      </w:rPr>
      <w:t xml:space="preserve">ГОСТ </w:t>
    </w:r>
  </w:p>
  <w:p w:rsidR="005938B8" w:rsidRPr="00440160" w:rsidRDefault="005938B8" w:rsidP="005938B8">
    <w:pPr>
      <w:pStyle w:val="a5"/>
      <w:tabs>
        <w:tab w:val="clear" w:pos="9355"/>
        <w:tab w:val="right" w:pos="9328"/>
      </w:tabs>
      <w:rPr>
        <w:rFonts w:ascii="Times New Roman" w:hAnsi="Times New Roman" w:cs="Times New Roman"/>
        <w:sz w:val="28"/>
        <w:szCs w:val="28"/>
      </w:rPr>
    </w:pPr>
    <w:r w:rsidRPr="00A31BDF">
      <w:rPr>
        <w:rFonts w:ascii="Times New Roman" w:hAnsi="Times New Roman" w:cs="Times New Roman"/>
        <w:b/>
        <w:bCs/>
        <w:i/>
        <w:iCs/>
        <w:sz w:val="28"/>
        <w:szCs w:val="28"/>
      </w:rPr>
      <w:t>(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>проект RU, окончательная редакция</w:t>
    </w:r>
    <w:r w:rsidRPr="00A31BDF">
      <w:rPr>
        <w:rFonts w:ascii="Times New Roman" w:hAnsi="Times New Roman" w:cs="Times New Roman"/>
        <w:b/>
        <w:bCs/>
        <w:i/>
        <w:iCs/>
        <w:sz w:val="28"/>
        <w:szCs w:val="28"/>
      </w:rPr>
      <w:t>)</w:t>
    </w:r>
  </w:p>
  <w:p w:rsidR="00501737" w:rsidRPr="00440160" w:rsidRDefault="005938B8" w:rsidP="005938B8">
    <w:pPr>
      <w:pStyle w:val="a5"/>
      <w:rPr>
        <w:rFonts w:ascii="Times New Roman" w:hAnsi="Times New Roman" w:cs="Times New Roman"/>
        <w:sz w:val="28"/>
        <w:szCs w:val="28"/>
      </w:rPr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Pr="00440160" w:rsidRDefault="00501737" w:rsidP="00217BF2">
    <w:pPr>
      <w:pStyle w:val="a5"/>
      <w:tabs>
        <w:tab w:val="clear" w:pos="9355"/>
        <w:tab w:val="right" w:pos="9328"/>
      </w:tabs>
      <w:jc w:val="right"/>
      <w:rPr>
        <w:rFonts w:ascii="Times New Roman" w:hAnsi="Times New Roman" w:cs="Times New Roman"/>
        <w:b/>
        <w:bCs/>
        <w:sz w:val="28"/>
        <w:szCs w:val="28"/>
      </w:rPr>
    </w:pPr>
    <w:r w:rsidRPr="00440160">
      <w:rPr>
        <w:rFonts w:ascii="Times New Roman" w:hAnsi="Times New Roman" w:cs="Times New Roman"/>
        <w:b/>
        <w:bCs/>
        <w:sz w:val="28"/>
        <w:szCs w:val="28"/>
      </w:rPr>
      <w:t xml:space="preserve">ГОСТ </w:t>
    </w:r>
  </w:p>
  <w:p w:rsidR="00501737" w:rsidRPr="00440160" w:rsidRDefault="00501737" w:rsidP="00217BF2">
    <w:pPr>
      <w:pStyle w:val="a5"/>
      <w:tabs>
        <w:tab w:val="clear" w:pos="4677"/>
        <w:tab w:val="clear" w:pos="9355"/>
        <w:tab w:val="left" w:pos="2850"/>
      </w:tabs>
      <w:jc w:val="right"/>
      <w:rPr>
        <w:rFonts w:ascii="Times New Roman" w:hAnsi="Times New Roman" w:cs="Times New Roman"/>
      </w:rPr>
    </w:pPr>
    <w:r w:rsidRPr="00986EBC">
      <w:rPr>
        <w:rFonts w:ascii="Times New Roman" w:hAnsi="Times New Roman" w:cs="Times New Roman"/>
        <w:b/>
        <w:bCs/>
        <w:i/>
        <w:iCs/>
        <w:sz w:val="28"/>
        <w:szCs w:val="28"/>
      </w:rPr>
      <w:t>(</w:t>
    </w:r>
    <w:r w:rsidRPr="00440160">
      <w:rPr>
        <w:rFonts w:ascii="Times New Roman" w:hAnsi="Times New Roman" w:cs="Times New Roman"/>
        <w:b/>
        <w:bCs/>
        <w:i/>
        <w:iCs/>
        <w:sz w:val="28"/>
        <w:szCs w:val="28"/>
      </w:rPr>
      <w:t xml:space="preserve">проект RU,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окончательная </w:t>
    </w:r>
    <w:r w:rsidRPr="00440160">
      <w:rPr>
        <w:rFonts w:ascii="Times New Roman" w:hAnsi="Times New Roman" w:cs="Times New Roman"/>
        <w:b/>
        <w:bCs/>
        <w:i/>
        <w:iCs/>
        <w:sz w:val="28"/>
        <w:szCs w:val="28"/>
      </w:rPr>
      <w:t>редакция</w:t>
    </w:r>
    <w:r w:rsidRPr="00986EBC">
      <w:rPr>
        <w:rFonts w:ascii="Times New Roman" w:hAnsi="Times New Roman" w:cs="Times New Roman"/>
        <w:b/>
        <w:bCs/>
        <w:i/>
        <w:iCs/>
        <w:sz w:val="28"/>
        <w:szCs w:val="28"/>
      </w:rPr>
      <w:t>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Pr="00B81196" w:rsidRDefault="00501737" w:rsidP="00217BF2">
    <w:pPr>
      <w:pStyle w:val="a5"/>
      <w:tabs>
        <w:tab w:val="clear" w:pos="9355"/>
        <w:tab w:val="right" w:pos="9328"/>
      </w:tabs>
      <w:rPr>
        <w:rStyle w:val="None"/>
        <w:rFonts w:ascii="Times New Roman" w:hAnsi="Times New Roman" w:cs="Times New Roman"/>
        <w:b/>
        <w:bCs/>
        <w:sz w:val="28"/>
        <w:szCs w:val="28"/>
      </w:rPr>
    </w:pPr>
    <w:r w:rsidRPr="00B81196">
      <w:rPr>
        <w:rStyle w:val="None"/>
        <w:rFonts w:ascii="Times New Roman" w:hAnsi="Times New Roman" w:cs="Times New Roman"/>
        <w:b/>
        <w:bCs/>
        <w:sz w:val="28"/>
        <w:szCs w:val="28"/>
      </w:rPr>
      <w:t xml:space="preserve">ГОСТ </w:t>
    </w:r>
  </w:p>
  <w:p w:rsidR="00501737" w:rsidRPr="00B81196" w:rsidRDefault="00501737" w:rsidP="00217BF2">
    <w:pPr>
      <w:pStyle w:val="a5"/>
      <w:tabs>
        <w:tab w:val="clear" w:pos="9355"/>
        <w:tab w:val="right" w:pos="9328"/>
      </w:tabs>
      <w:rPr>
        <w:rFonts w:ascii="Times New Roman" w:hAnsi="Times New Roman" w:cs="Times New Roman"/>
        <w:sz w:val="28"/>
        <w:szCs w:val="28"/>
      </w:rPr>
    </w:pPr>
    <w:r w:rsidRPr="001002F9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(</w:t>
    </w:r>
    <w:r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проект RU, окончательная редакция</w:t>
    </w:r>
    <w:r w:rsidRPr="001002F9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Pr="00E11437" w:rsidRDefault="00501737" w:rsidP="00217BF2">
    <w:pPr>
      <w:pStyle w:val="a5"/>
      <w:tabs>
        <w:tab w:val="clear" w:pos="9355"/>
        <w:tab w:val="left" w:pos="435"/>
        <w:tab w:val="right" w:pos="9328"/>
      </w:tabs>
      <w:jc w:val="right"/>
      <w:rPr>
        <w:rStyle w:val="None"/>
        <w:rFonts w:ascii="Times New Roman" w:hAnsi="Times New Roman" w:cs="Times New Roman"/>
        <w:b/>
        <w:bCs/>
        <w:sz w:val="28"/>
        <w:szCs w:val="28"/>
      </w:rPr>
    </w:pPr>
    <w:r w:rsidRPr="00E11437">
      <w:rPr>
        <w:rStyle w:val="None"/>
        <w:rFonts w:ascii="Times New Roman" w:hAnsi="Times New Roman" w:cs="Times New Roman"/>
        <w:b/>
        <w:bCs/>
        <w:sz w:val="28"/>
        <w:szCs w:val="28"/>
      </w:rPr>
      <w:t xml:space="preserve">ГОСТ </w:t>
    </w:r>
  </w:p>
  <w:p w:rsidR="00501737" w:rsidRPr="00E11437" w:rsidRDefault="00501737" w:rsidP="00217BF2">
    <w:pPr>
      <w:pStyle w:val="a5"/>
      <w:tabs>
        <w:tab w:val="clear" w:pos="9355"/>
        <w:tab w:val="left" w:pos="435"/>
        <w:tab w:val="right" w:pos="9328"/>
      </w:tabs>
      <w:jc w:val="right"/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</w:pPr>
    <w:r w:rsidRPr="00FA2A9D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(</w:t>
    </w:r>
    <w:r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проект RU, окончательная редакция</w:t>
    </w:r>
    <w:r w:rsidRPr="00FA2A9D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)</w:t>
    </w:r>
  </w:p>
  <w:p w:rsidR="00501737" w:rsidRDefault="00501737" w:rsidP="00217BF2">
    <w:pPr>
      <w:pStyle w:val="a5"/>
      <w:tabs>
        <w:tab w:val="clear" w:pos="9355"/>
        <w:tab w:val="left" w:pos="435"/>
        <w:tab w:val="right" w:pos="9328"/>
      </w:tabs>
    </w:pPr>
    <w:r w:rsidRPr="00FA2A9D">
      <w:rPr>
        <w:rStyle w:val="None"/>
        <w:sz w:val="28"/>
        <w:szCs w:val="28"/>
      </w:rPr>
      <w:tab/>
    </w:r>
    <w:r w:rsidRPr="00FA2A9D">
      <w:rPr>
        <w:rStyle w:val="None"/>
        <w:sz w:val="28"/>
        <w:szCs w:val="28"/>
      </w:rPr>
      <w:tab/>
    </w:r>
    <w:r w:rsidRPr="00FA2A9D">
      <w:rPr>
        <w:rStyle w:val="None"/>
        <w:sz w:val="28"/>
        <w:szCs w:val="28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7" w:rsidRPr="00B81196" w:rsidRDefault="00501737" w:rsidP="00217BF2">
    <w:pPr>
      <w:pStyle w:val="a5"/>
      <w:tabs>
        <w:tab w:val="clear" w:pos="9355"/>
        <w:tab w:val="right" w:pos="9328"/>
      </w:tabs>
      <w:jc w:val="right"/>
      <w:rPr>
        <w:rStyle w:val="None"/>
        <w:rFonts w:ascii="Times New Roman" w:hAnsi="Times New Roman" w:cs="Times New Roman"/>
        <w:b/>
        <w:bCs/>
        <w:sz w:val="28"/>
        <w:szCs w:val="28"/>
      </w:rPr>
    </w:pPr>
    <w:r w:rsidRPr="00B81196">
      <w:rPr>
        <w:rStyle w:val="None"/>
        <w:rFonts w:ascii="Times New Roman" w:hAnsi="Times New Roman" w:cs="Times New Roman"/>
        <w:b/>
        <w:bCs/>
        <w:sz w:val="28"/>
        <w:szCs w:val="28"/>
      </w:rPr>
      <w:t xml:space="preserve">ГОСТ </w:t>
    </w:r>
  </w:p>
  <w:p w:rsidR="00501737" w:rsidRPr="00B81196" w:rsidRDefault="00501737" w:rsidP="00217BF2">
    <w:pPr>
      <w:pStyle w:val="a5"/>
      <w:tabs>
        <w:tab w:val="clear" w:pos="9355"/>
        <w:tab w:val="right" w:pos="9328"/>
      </w:tabs>
      <w:jc w:val="right"/>
      <w:rPr>
        <w:rFonts w:ascii="Times New Roman" w:hAnsi="Times New Roman" w:cs="Times New Roman"/>
        <w:sz w:val="28"/>
        <w:szCs w:val="28"/>
      </w:rPr>
    </w:pPr>
    <w:r w:rsidRPr="001002F9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(</w:t>
    </w:r>
    <w:r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проект RU, окончательная редакция</w:t>
    </w:r>
    <w:r w:rsidRPr="001002F9">
      <w:rPr>
        <w:rStyle w:val="None"/>
        <w:rFonts w:ascii="Times New Roman" w:hAnsi="Times New Roman" w:cs="Times New Roman"/>
        <w:b/>
        <w:bCs/>
        <w:i/>
        <w:i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97E"/>
    <w:multiLevelType w:val="hybridMultilevel"/>
    <w:tmpl w:val="7ECA85BE"/>
    <w:styleLink w:val="ImportedStyle2"/>
    <w:lvl w:ilvl="0" w:tplc="72801CC2">
      <w:start w:val="1"/>
      <w:numFmt w:val="decimal"/>
      <w:lvlText w:val="%1."/>
      <w:lvlJc w:val="left"/>
      <w:pPr>
        <w:tabs>
          <w:tab w:val="num" w:pos="473"/>
          <w:tab w:val="left" w:leader="dot" w:pos="8789"/>
        </w:tabs>
        <w:ind w:left="25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40A756">
      <w:start w:val="1"/>
      <w:numFmt w:val="decimal"/>
      <w:lvlText w:val="%2."/>
      <w:lvlJc w:val="left"/>
      <w:pPr>
        <w:tabs>
          <w:tab w:val="left" w:pos="473"/>
          <w:tab w:val="num" w:pos="1193"/>
          <w:tab w:val="left" w:leader="dot" w:pos="8789"/>
        </w:tabs>
        <w:ind w:left="97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A2E5AA">
      <w:start w:val="1"/>
      <w:numFmt w:val="decimal"/>
      <w:lvlText w:val="%3."/>
      <w:lvlJc w:val="left"/>
      <w:pPr>
        <w:tabs>
          <w:tab w:val="left" w:pos="473"/>
          <w:tab w:val="num" w:pos="1913"/>
          <w:tab w:val="left" w:leader="dot" w:pos="8789"/>
        </w:tabs>
        <w:ind w:left="169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4CBA6">
      <w:start w:val="1"/>
      <w:numFmt w:val="decimal"/>
      <w:lvlText w:val="%4."/>
      <w:lvlJc w:val="left"/>
      <w:pPr>
        <w:tabs>
          <w:tab w:val="left" w:pos="473"/>
          <w:tab w:val="num" w:pos="2633"/>
          <w:tab w:val="left" w:leader="dot" w:pos="8789"/>
        </w:tabs>
        <w:ind w:left="241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1C60CC">
      <w:start w:val="1"/>
      <w:numFmt w:val="decimal"/>
      <w:lvlText w:val="%5."/>
      <w:lvlJc w:val="left"/>
      <w:pPr>
        <w:tabs>
          <w:tab w:val="left" w:pos="473"/>
          <w:tab w:val="num" w:pos="3353"/>
          <w:tab w:val="left" w:leader="dot" w:pos="8789"/>
        </w:tabs>
        <w:ind w:left="313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E49900">
      <w:start w:val="1"/>
      <w:numFmt w:val="decimal"/>
      <w:lvlText w:val="%6."/>
      <w:lvlJc w:val="left"/>
      <w:pPr>
        <w:tabs>
          <w:tab w:val="left" w:pos="473"/>
          <w:tab w:val="num" w:pos="4073"/>
          <w:tab w:val="left" w:leader="dot" w:pos="8789"/>
        </w:tabs>
        <w:ind w:left="385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C0EA9A">
      <w:start w:val="1"/>
      <w:numFmt w:val="decimal"/>
      <w:lvlText w:val="%7."/>
      <w:lvlJc w:val="left"/>
      <w:pPr>
        <w:tabs>
          <w:tab w:val="left" w:pos="473"/>
          <w:tab w:val="num" w:pos="4793"/>
          <w:tab w:val="left" w:leader="dot" w:pos="8789"/>
        </w:tabs>
        <w:ind w:left="457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C8C52">
      <w:start w:val="1"/>
      <w:numFmt w:val="decimal"/>
      <w:lvlText w:val="%8."/>
      <w:lvlJc w:val="left"/>
      <w:pPr>
        <w:tabs>
          <w:tab w:val="left" w:pos="473"/>
          <w:tab w:val="num" w:pos="5513"/>
          <w:tab w:val="left" w:leader="dot" w:pos="8789"/>
        </w:tabs>
        <w:ind w:left="529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A2C452">
      <w:start w:val="1"/>
      <w:numFmt w:val="decimal"/>
      <w:lvlText w:val="%9."/>
      <w:lvlJc w:val="left"/>
      <w:pPr>
        <w:tabs>
          <w:tab w:val="left" w:pos="473"/>
          <w:tab w:val="num" w:pos="6233"/>
          <w:tab w:val="left" w:leader="dot" w:pos="8789"/>
        </w:tabs>
        <w:ind w:left="6013" w:hanging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67A49E3"/>
    <w:multiLevelType w:val="hybridMultilevel"/>
    <w:tmpl w:val="7ECA85BE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76E6DE36">
        <w:start w:val="1"/>
        <w:numFmt w:val="decimal"/>
        <w:lvlText w:val="%1."/>
        <w:lvlJc w:val="left"/>
        <w:pPr>
          <w:tabs>
            <w:tab w:val="num" w:pos="516"/>
            <w:tab w:val="left" w:leader="dot" w:pos="8789"/>
            <w:tab w:val="left" w:leader="dot" w:pos="8848"/>
          </w:tabs>
          <w:ind w:left="29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B0B49C">
        <w:start w:val="1"/>
        <w:numFmt w:val="decimal"/>
        <w:lvlText w:val="%2."/>
        <w:lvlJc w:val="left"/>
        <w:pPr>
          <w:tabs>
            <w:tab w:val="left" w:pos="516"/>
            <w:tab w:val="num" w:pos="1236"/>
            <w:tab w:val="left" w:leader="dot" w:pos="8789"/>
            <w:tab w:val="left" w:leader="dot" w:pos="8848"/>
          </w:tabs>
          <w:ind w:left="101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2CF258">
        <w:start w:val="1"/>
        <w:numFmt w:val="decimal"/>
        <w:lvlText w:val="%3."/>
        <w:lvlJc w:val="left"/>
        <w:pPr>
          <w:tabs>
            <w:tab w:val="left" w:pos="516"/>
            <w:tab w:val="num" w:pos="1956"/>
            <w:tab w:val="left" w:leader="dot" w:pos="8789"/>
            <w:tab w:val="left" w:leader="dot" w:pos="8848"/>
          </w:tabs>
          <w:ind w:left="173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A88F48">
        <w:start w:val="1"/>
        <w:numFmt w:val="decimal"/>
        <w:lvlText w:val="%4."/>
        <w:lvlJc w:val="left"/>
        <w:pPr>
          <w:tabs>
            <w:tab w:val="left" w:pos="516"/>
            <w:tab w:val="num" w:pos="2676"/>
            <w:tab w:val="left" w:leader="dot" w:pos="8789"/>
            <w:tab w:val="left" w:leader="dot" w:pos="8848"/>
          </w:tabs>
          <w:ind w:left="245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3E4548">
        <w:start w:val="1"/>
        <w:numFmt w:val="decimal"/>
        <w:lvlText w:val="%5."/>
        <w:lvlJc w:val="left"/>
        <w:pPr>
          <w:tabs>
            <w:tab w:val="left" w:pos="516"/>
            <w:tab w:val="num" w:pos="3396"/>
            <w:tab w:val="left" w:leader="dot" w:pos="8789"/>
            <w:tab w:val="left" w:leader="dot" w:pos="8848"/>
          </w:tabs>
          <w:ind w:left="317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C7A4A">
        <w:start w:val="1"/>
        <w:numFmt w:val="decimal"/>
        <w:lvlText w:val="%6."/>
        <w:lvlJc w:val="left"/>
        <w:pPr>
          <w:tabs>
            <w:tab w:val="left" w:pos="516"/>
            <w:tab w:val="num" w:pos="4116"/>
            <w:tab w:val="left" w:leader="dot" w:pos="8789"/>
            <w:tab w:val="left" w:leader="dot" w:pos="8848"/>
          </w:tabs>
          <w:ind w:left="389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ACDB88">
        <w:start w:val="1"/>
        <w:numFmt w:val="decimal"/>
        <w:lvlText w:val="%7."/>
        <w:lvlJc w:val="left"/>
        <w:pPr>
          <w:tabs>
            <w:tab w:val="left" w:pos="516"/>
            <w:tab w:val="num" w:pos="4836"/>
            <w:tab w:val="left" w:leader="dot" w:pos="8789"/>
            <w:tab w:val="left" w:leader="dot" w:pos="8848"/>
          </w:tabs>
          <w:ind w:left="461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D0258A">
        <w:start w:val="1"/>
        <w:numFmt w:val="decimal"/>
        <w:lvlText w:val="%8."/>
        <w:lvlJc w:val="left"/>
        <w:pPr>
          <w:tabs>
            <w:tab w:val="left" w:pos="516"/>
            <w:tab w:val="num" w:pos="5556"/>
            <w:tab w:val="left" w:leader="dot" w:pos="8789"/>
            <w:tab w:val="left" w:leader="dot" w:pos="8848"/>
          </w:tabs>
          <w:ind w:left="533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3217CA">
        <w:start w:val="1"/>
        <w:numFmt w:val="decimal"/>
        <w:lvlText w:val="%9."/>
        <w:lvlJc w:val="left"/>
        <w:pPr>
          <w:tabs>
            <w:tab w:val="left" w:pos="516"/>
            <w:tab w:val="num" w:pos="6276"/>
            <w:tab w:val="left" w:leader="dot" w:pos="8789"/>
            <w:tab w:val="left" w:leader="dot" w:pos="8848"/>
          </w:tabs>
          <w:ind w:left="6056" w:hanging="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97"/>
    <w:rsid w:val="00001E41"/>
    <w:rsid w:val="000032CA"/>
    <w:rsid w:val="000A1886"/>
    <w:rsid w:val="000D1985"/>
    <w:rsid w:val="000E5967"/>
    <w:rsid w:val="000F1A95"/>
    <w:rsid w:val="001002F9"/>
    <w:rsid w:val="00122EEA"/>
    <w:rsid w:val="00136C36"/>
    <w:rsid w:val="00144645"/>
    <w:rsid w:val="00154A3B"/>
    <w:rsid w:val="0016337B"/>
    <w:rsid w:val="0019039D"/>
    <w:rsid w:val="00191953"/>
    <w:rsid w:val="001A2CF6"/>
    <w:rsid w:val="001B26A3"/>
    <w:rsid w:val="001E03B4"/>
    <w:rsid w:val="001E6FE2"/>
    <w:rsid w:val="002127D5"/>
    <w:rsid w:val="002161D2"/>
    <w:rsid w:val="00217BF2"/>
    <w:rsid w:val="00246FEB"/>
    <w:rsid w:val="00274E90"/>
    <w:rsid w:val="00284F2A"/>
    <w:rsid w:val="002A01EC"/>
    <w:rsid w:val="002B0655"/>
    <w:rsid w:val="002C74A5"/>
    <w:rsid w:val="002D7FBE"/>
    <w:rsid w:val="00303E5F"/>
    <w:rsid w:val="003146BF"/>
    <w:rsid w:val="00317D45"/>
    <w:rsid w:val="003361F6"/>
    <w:rsid w:val="003A1069"/>
    <w:rsid w:val="003C732E"/>
    <w:rsid w:val="003F2D3A"/>
    <w:rsid w:val="004032FD"/>
    <w:rsid w:val="00410C6A"/>
    <w:rsid w:val="004208DD"/>
    <w:rsid w:val="00440160"/>
    <w:rsid w:val="004471E2"/>
    <w:rsid w:val="004B2EAB"/>
    <w:rsid w:val="004B5FA9"/>
    <w:rsid w:val="004C45A6"/>
    <w:rsid w:val="00501737"/>
    <w:rsid w:val="00502FF7"/>
    <w:rsid w:val="00504AEC"/>
    <w:rsid w:val="00540D07"/>
    <w:rsid w:val="005474D1"/>
    <w:rsid w:val="005938B8"/>
    <w:rsid w:val="00594C72"/>
    <w:rsid w:val="005A52C8"/>
    <w:rsid w:val="005C0AB1"/>
    <w:rsid w:val="005E0651"/>
    <w:rsid w:val="005E74DF"/>
    <w:rsid w:val="00606081"/>
    <w:rsid w:val="006112A2"/>
    <w:rsid w:val="006150D6"/>
    <w:rsid w:val="00637BFC"/>
    <w:rsid w:val="00664E09"/>
    <w:rsid w:val="00665CDE"/>
    <w:rsid w:val="006670E2"/>
    <w:rsid w:val="006717A0"/>
    <w:rsid w:val="0067710C"/>
    <w:rsid w:val="00683476"/>
    <w:rsid w:val="006A78AA"/>
    <w:rsid w:val="006B6B93"/>
    <w:rsid w:val="006C7D15"/>
    <w:rsid w:val="006D41D8"/>
    <w:rsid w:val="006E1B57"/>
    <w:rsid w:val="00712AA1"/>
    <w:rsid w:val="00717431"/>
    <w:rsid w:val="00726091"/>
    <w:rsid w:val="00731463"/>
    <w:rsid w:val="00747FAD"/>
    <w:rsid w:val="0075135C"/>
    <w:rsid w:val="0075694A"/>
    <w:rsid w:val="00760C94"/>
    <w:rsid w:val="00765AE4"/>
    <w:rsid w:val="007A1B23"/>
    <w:rsid w:val="007C2A9D"/>
    <w:rsid w:val="007C40BA"/>
    <w:rsid w:val="007D78A0"/>
    <w:rsid w:val="007E1894"/>
    <w:rsid w:val="008349B2"/>
    <w:rsid w:val="008A198E"/>
    <w:rsid w:val="008B0F9A"/>
    <w:rsid w:val="008F0068"/>
    <w:rsid w:val="00901960"/>
    <w:rsid w:val="009163AC"/>
    <w:rsid w:val="00921ADA"/>
    <w:rsid w:val="009311FE"/>
    <w:rsid w:val="00934008"/>
    <w:rsid w:val="00955099"/>
    <w:rsid w:val="00957E1D"/>
    <w:rsid w:val="00964A02"/>
    <w:rsid w:val="00982A5A"/>
    <w:rsid w:val="0098568F"/>
    <w:rsid w:val="00986EBC"/>
    <w:rsid w:val="00987076"/>
    <w:rsid w:val="00993EBD"/>
    <w:rsid w:val="009967AB"/>
    <w:rsid w:val="009A5493"/>
    <w:rsid w:val="009E0EA9"/>
    <w:rsid w:val="009F458B"/>
    <w:rsid w:val="00A043AF"/>
    <w:rsid w:val="00A152FF"/>
    <w:rsid w:val="00A31BDF"/>
    <w:rsid w:val="00A43434"/>
    <w:rsid w:val="00A50059"/>
    <w:rsid w:val="00A62FF6"/>
    <w:rsid w:val="00A96BC5"/>
    <w:rsid w:val="00AA5AB1"/>
    <w:rsid w:val="00AC4E8E"/>
    <w:rsid w:val="00AD217F"/>
    <w:rsid w:val="00AE08C0"/>
    <w:rsid w:val="00B04C68"/>
    <w:rsid w:val="00B20890"/>
    <w:rsid w:val="00B51DC6"/>
    <w:rsid w:val="00B52DCF"/>
    <w:rsid w:val="00B81196"/>
    <w:rsid w:val="00B9537B"/>
    <w:rsid w:val="00BA5BB3"/>
    <w:rsid w:val="00BD575C"/>
    <w:rsid w:val="00BE4C4D"/>
    <w:rsid w:val="00BE72C9"/>
    <w:rsid w:val="00C257A6"/>
    <w:rsid w:val="00C47B18"/>
    <w:rsid w:val="00C5761A"/>
    <w:rsid w:val="00C877DC"/>
    <w:rsid w:val="00C87A65"/>
    <w:rsid w:val="00CC35A2"/>
    <w:rsid w:val="00CD7321"/>
    <w:rsid w:val="00CE6C10"/>
    <w:rsid w:val="00D0529B"/>
    <w:rsid w:val="00D33C20"/>
    <w:rsid w:val="00D50A97"/>
    <w:rsid w:val="00D6509C"/>
    <w:rsid w:val="00D84D4D"/>
    <w:rsid w:val="00DC5ADB"/>
    <w:rsid w:val="00DD4020"/>
    <w:rsid w:val="00DD600D"/>
    <w:rsid w:val="00DD720E"/>
    <w:rsid w:val="00E03E13"/>
    <w:rsid w:val="00E10029"/>
    <w:rsid w:val="00E11437"/>
    <w:rsid w:val="00E54195"/>
    <w:rsid w:val="00EC1FCF"/>
    <w:rsid w:val="00ED5CE6"/>
    <w:rsid w:val="00EF21CA"/>
    <w:rsid w:val="00EF469E"/>
    <w:rsid w:val="00F07B03"/>
    <w:rsid w:val="00F1156F"/>
    <w:rsid w:val="00F35807"/>
    <w:rsid w:val="00F461C7"/>
    <w:rsid w:val="00F56E79"/>
    <w:rsid w:val="00F762D4"/>
    <w:rsid w:val="00F80124"/>
    <w:rsid w:val="00FA2A9D"/>
    <w:rsid w:val="00FC1C38"/>
    <w:rsid w:val="00FE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C10"/>
    <w:pPr>
      <w:widowControl w:val="0"/>
      <w:suppressAutoHyphens/>
    </w:pPr>
    <w:rPr>
      <w:rFonts w:ascii="Cambria" w:eastAsia="Cambria" w:hAnsi="Cambria" w:cs="Cambr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6C10"/>
    <w:rPr>
      <w:u w:val="single"/>
    </w:rPr>
  </w:style>
  <w:style w:type="table" w:customStyle="1" w:styleId="TableNormal">
    <w:name w:val="Table Normal"/>
    <w:rsid w:val="00CE6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E6C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CE6C10"/>
    <w:pPr>
      <w:widowControl w:val="0"/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u w:color="000000"/>
    </w:rPr>
  </w:style>
  <w:style w:type="paragraph" w:customStyle="1" w:styleId="1">
    <w:name w:val="Обычный1"/>
    <w:rsid w:val="00CE6C10"/>
    <w:pPr>
      <w:widowControl w:val="0"/>
      <w:suppressAutoHyphens/>
      <w:spacing w:line="480" w:lineRule="auto"/>
      <w:ind w:firstLine="72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5">
    <w:name w:val="header"/>
    <w:link w:val="a6"/>
    <w:rsid w:val="00CE6C10"/>
    <w:pPr>
      <w:widowControl w:val="0"/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u w:color="000000"/>
    </w:rPr>
  </w:style>
  <w:style w:type="paragraph" w:customStyle="1" w:styleId="21">
    <w:name w:val="Основной текст (2)1"/>
    <w:rsid w:val="00CE6C10"/>
    <w:pPr>
      <w:widowControl w:val="0"/>
      <w:shd w:val="clear" w:color="auto" w:fill="FFFFFF"/>
      <w:spacing w:before="240" w:line="226" w:lineRule="exact"/>
      <w:jc w:val="both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None">
    <w:name w:val="None"/>
    <w:rsid w:val="00CE6C10"/>
  </w:style>
  <w:style w:type="character" w:customStyle="1" w:styleId="Hyperlink0">
    <w:name w:val="Hyperlink.0"/>
    <w:basedOn w:val="None"/>
    <w:rsid w:val="00CE6C10"/>
    <w:rPr>
      <w:color w:val="0000FF"/>
      <w:u w:val="single" w:color="0000FF"/>
      <w:lang w:val="ru-RU"/>
    </w:rPr>
  </w:style>
  <w:style w:type="numbering" w:customStyle="1" w:styleId="ImportedStyle2">
    <w:name w:val="Imported Style 2"/>
    <w:rsid w:val="00CE6C10"/>
    <w:pPr>
      <w:numPr>
        <w:numId w:val="1"/>
      </w:numPr>
    </w:pPr>
  </w:style>
  <w:style w:type="paragraph" w:customStyle="1" w:styleId="ConsPlusNormal">
    <w:name w:val="ConsPlusNormal"/>
    <w:rsid w:val="00CE6C10"/>
    <w:pPr>
      <w:widowControl w:val="0"/>
      <w:suppressAutoHyphens/>
    </w:pPr>
    <w:rPr>
      <w:rFonts w:ascii="Arial" w:eastAsia="Arial" w:hAnsi="Arial" w:cs="Arial"/>
      <w:color w:val="000000"/>
      <w:u w:color="000000"/>
    </w:rPr>
  </w:style>
  <w:style w:type="paragraph" w:customStyle="1" w:styleId="210">
    <w:name w:val="Основной текст с отступом 21"/>
    <w:rsid w:val="00CE6C10"/>
    <w:pPr>
      <w:widowControl w:val="0"/>
      <w:suppressAutoHyphens/>
      <w:spacing w:after="120" w:line="480" w:lineRule="auto"/>
      <w:ind w:left="283"/>
    </w:pPr>
    <w:rPr>
      <w:rFonts w:ascii="Cambria" w:eastAsia="Cambria" w:hAnsi="Cambria" w:cs="Cambria"/>
      <w:color w:val="000000"/>
      <w:u w:color="000000"/>
    </w:rPr>
  </w:style>
  <w:style w:type="table" w:styleId="a7">
    <w:name w:val="Table Grid"/>
    <w:basedOn w:val="a1"/>
    <w:uiPriority w:val="39"/>
    <w:rsid w:val="006C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4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63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6">
    <w:name w:val="Верхний колонтитул Знак"/>
    <w:basedOn w:val="a0"/>
    <w:link w:val="a5"/>
    <w:rsid w:val="0016337B"/>
    <w:rPr>
      <w:rFonts w:ascii="Cambria" w:eastAsia="Cambria" w:hAnsi="Cambria" w:cs="Cambria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C10"/>
    <w:pPr>
      <w:widowControl w:val="0"/>
      <w:suppressAutoHyphens/>
    </w:pPr>
    <w:rPr>
      <w:rFonts w:ascii="Cambria" w:eastAsia="Cambria" w:hAnsi="Cambria" w:cs="Cambri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6C10"/>
    <w:rPr>
      <w:u w:val="single"/>
    </w:rPr>
  </w:style>
  <w:style w:type="table" w:customStyle="1" w:styleId="TableNormal">
    <w:name w:val="Table Normal"/>
    <w:rsid w:val="00CE6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E6C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CE6C10"/>
    <w:pPr>
      <w:widowControl w:val="0"/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u w:color="000000"/>
    </w:rPr>
  </w:style>
  <w:style w:type="paragraph" w:customStyle="1" w:styleId="1">
    <w:name w:val="Обычный1"/>
    <w:rsid w:val="00CE6C10"/>
    <w:pPr>
      <w:widowControl w:val="0"/>
      <w:suppressAutoHyphens/>
      <w:spacing w:line="480" w:lineRule="auto"/>
      <w:ind w:firstLine="72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5">
    <w:name w:val="header"/>
    <w:link w:val="a6"/>
    <w:rsid w:val="00CE6C10"/>
    <w:pPr>
      <w:widowControl w:val="0"/>
      <w:tabs>
        <w:tab w:val="center" w:pos="4677"/>
        <w:tab w:val="right" w:pos="9355"/>
      </w:tabs>
      <w:suppressAutoHyphens/>
    </w:pPr>
    <w:rPr>
      <w:rFonts w:ascii="Cambria" w:eastAsia="Cambria" w:hAnsi="Cambria" w:cs="Cambria"/>
      <w:color w:val="000000"/>
      <w:u w:color="000000"/>
    </w:rPr>
  </w:style>
  <w:style w:type="paragraph" w:customStyle="1" w:styleId="21">
    <w:name w:val="Основной текст (2)1"/>
    <w:rsid w:val="00CE6C10"/>
    <w:pPr>
      <w:widowControl w:val="0"/>
      <w:shd w:val="clear" w:color="auto" w:fill="FFFFFF"/>
      <w:spacing w:before="240" w:line="226" w:lineRule="exact"/>
      <w:jc w:val="both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None">
    <w:name w:val="None"/>
    <w:rsid w:val="00CE6C10"/>
  </w:style>
  <w:style w:type="character" w:customStyle="1" w:styleId="Hyperlink0">
    <w:name w:val="Hyperlink.0"/>
    <w:basedOn w:val="None"/>
    <w:rsid w:val="00CE6C10"/>
    <w:rPr>
      <w:color w:val="0000FF"/>
      <w:u w:val="single" w:color="0000FF"/>
      <w:lang w:val="ru-RU"/>
    </w:rPr>
  </w:style>
  <w:style w:type="numbering" w:customStyle="1" w:styleId="ImportedStyle2">
    <w:name w:val="Imported Style 2"/>
    <w:rsid w:val="00CE6C10"/>
    <w:pPr>
      <w:numPr>
        <w:numId w:val="1"/>
      </w:numPr>
    </w:pPr>
  </w:style>
  <w:style w:type="paragraph" w:customStyle="1" w:styleId="ConsPlusNormal">
    <w:name w:val="ConsPlusNormal"/>
    <w:rsid w:val="00CE6C10"/>
    <w:pPr>
      <w:widowControl w:val="0"/>
      <w:suppressAutoHyphens/>
    </w:pPr>
    <w:rPr>
      <w:rFonts w:ascii="Arial" w:eastAsia="Arial" w:hAnsi="Arial" w:cs="Arial"/>
      <w:color w:val="000000"/>
      <w:u w:color="000000"/>
    </w:rPr>
  </w:style>
  <w:style w:type="paragraph" w:customStyle="1" w:styleId="210">
    <w:name w:val="Основной текст с отступом 21"/>
    <w:rsid w:val="00CE6C10"/>
    <w:pPr>
      <w:widowControl w:val="0"/>
      <w:suppressAutoHyphens/>
      <w:spacing w:after="120" w:line="480" w:lineRule="auto"/>
      <w:ind w:left="283"/>
    </w:pPr>
    <w:rPr>
      <w:rFonts w:ascii="Cambria" w:eastAsia="Cambria" w:hAnsi="Cambria" w:cs="Cambria"/>
      <w:color w:val="000000"/>
      <w:u w:color="000000"/>
    </w:rPr>
  </w:style>
  <w:style w:type="table" w:styleId="a7">
    <w:name w:val="Table Grid"/>
    <w:basedOn w:val="a1"/>
    <w:uiPriority w:val="39"/>
    <w:rsid w:val="006C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4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63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6">
    <w:name w:val="Верхний колонтитул Знак"/>
    <w:basedOn w:val="a0"/>
    <w:link w:val="a5"/>
    <w:rsid w:val="0016337B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docs.cntd.ru/document/842501075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42501075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docs.cntd.ru/document/84250107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docs.cntd.ru/document/842501075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5989-0821-4EE2-937E-B8A808B6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2969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2020-05-29T15:56:00Z</dcterms:created>
  <dcterms:modified xsi:type="dcterms:W3CDTF">2020-05-29T16:57:00Z</dcterms:modified>
</cp:coreProperties>
</file>