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820"/>
        <w:gridCol w:w="2542"/>
      </w:tblGrid>
      <w:tr>
        <w:trPr/>
        <w:tc>
          <w:tcPr>
            <w:gridSpan w:val="3"/>
            <w:shd w:val="clear" w:color="auto" w:fill="auto"/>
            <w:tcBorders>
              <w:top w:val="single" w:color="000000" w:sz="24" w:space="0"/>
              <w:bottom w:val="single" w:color="000000" w:sz="24" w:space="0"/>
            </w:tcBorders>
            <w:tcW w:w="9738" w:type="dxa"/>
            <w:textDirection w:val="lrTb"/>
            <w:noWrap w:val="false"/>
          </w:tcPr>
          <w:p>
            <w:pPr>
              <w:pStyle w:val="994"/>
              <w:jc w:val="center"/>
              <w:rPr>
                <w:bCs w:val="0"/>
                <w:sz w:val="23"/>
                <w:szCs w:val="23"/>
                <w:lang w:eastAsia="en-US"/>
              </w:rPr>
            </w:pPr>
            <w:r>
              <w:rPr>
                <w:bCs w:val="0"/>
                <w:sz w:val="23"/>
                <w:szCs w:val="23"/>
                <w:lang w:eastAsia="en-US"/>
              </w:rPr>
              <w:t xml:space="preserve">ЕВРАЗИЙСКИЙ СОВЕТ ПО СТАНДАРТИЗАЦИИ, МЕТРОЛОГИИ И СЕРТИФИКАЦИИ</w:t>
            </w:r>
            <w:r/>
          </w:p>
          <w:p>
            <w:pPr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(</w:t>
            </w: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ЕАСС</w:t>
            </w: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)</w:t>
            </w:r>
            <w:r/>
          </w:p>
          <w:p>
            <w:pPr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EURO-ASIAN COUNCIL FOR STANDARDIZATION, METROLOGY AND CERTIFICATION</w:t>
            </w:r>
            <w:r/>
          </w:p>
          <w:p>
            <w:pPr>
              <w:ind w:right="-144" w:hanging="142"/>
              <w:jc w:val="center"/>
              <w:spacing w:after="240"/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(EASC)</w:t>
            </w:r>
            <w:r/>
          </w:p>
        </w:tc>
      </w:tr>
      <w:tr>
        <w:trPr>
          <w:trHeight w:val="1819"/>
        </w:trPr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19175" cy="101917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9174" cy="1019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0.2pt;height:80.2pt;mso-wrap-distance-left:0.0pt;mso-wrap-distance-top:0.0pt;mso-wrap-distance-right:0.0pt;mso-wrap-distance-bottom:0.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1293" w:leader="none"/>
                <w:tab w:val="center" w:pos="5133" w:leader="none"/>
              </w:tabs>
            </w:pPr>
            <w:r>
              <w:rPr>
                <w:rFonts w:ascii="Arial" w:hAnsi="Arial" w:cs="Arial"/>
                <w:b/>
                <w:spacing w:val="50"/>
                <w:sz w:val="28"/>
                <w:szCs w:val="28"/>
              </w:rPr>
              <w:t xml:space="preserve">МЕЖГОСУДАРСТВЕННЫЙ</w:t>
            </w:r>
            <w:r/>
          </w:p>
          <w:p>
            <w:pPr>
              <w:jc w:val="center"/>
              <w:spacing w:line="360" w:lineRule="auto"/>
            </w:pPr>
            <w:r>
              <w:rPr>
                <w:rFonts w:ascii="Arial" w:hAnsi="Arial" w:eastAsia="SimSun" w:cs="Arial"/>
                <w:b/>
                <w:spacing w:val="50"/>
                <w:sz w:val="28"/>
                <w:szCs w:val="28"/>
              </w:rPr>
              <w:t xml:space="preserve">СТАНДАРТ</w:t>
            </w:r>
            <w:r/>
          </w:p>
        </w:tc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2542" w:type="dxa"/>
            <w:textDirection w:val="lrTb"/>
            <w:noWrap w:val="false"/>
          </w:tcPr>
          <w:p>
            <w:pPr>
              <w:ind w:left="119"/>
              <w:spacing w:before="360" w:after="0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ГОСТ </w:t>
            </w:r>
            <w:r>
              <w:br/>
            </w:r>
            <w:r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 xml:space="preserve">ISO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2420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–</w:t>
            </w:r>
            <w:r/>
          </w:p>
          <w:p>
            <w:pPr>
              <w:ind w:left="119"/>
              <w:spacing w:before="360" w:after="0"/>
            </w:pP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(проект, RU, 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окончательная редакция)</w:t>
            </w:r>
            <w:r/>
          </w:p>
        </w:tc>
      </w:tr>
    </w:tbl>
    <w:p>
      <w:pPr>
        <w:pStyle w:val="1076"/>
      </w:pPr>
      <w:r>
        <w:rPr>
          <w:rFonts w:eastAsia="Arial"/>
        </w:rPr>
        <w:t xml:space="preserve"> </w:t>
      </w:r>
      <w:r/>
    </w:p>
    <w:p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</w:r>
      <w:r/>
    </w:p>
    <w:p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</w:r>
      <w:r/>
    </w:p>
    <w:p>
      <w:pPr>
        <w:jc w:val="center"/>
        <w:spacing w:after="120" w:line="360" w:lineRule="auto"/>
        <w:rPr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КОЖА</w:t>
      </w:r>
      <w:r/>
    </w:p>
    <w:p>
      <w:pPr>
        <w:jc w:val="center"/>
        <w:spacing w:after="12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Физические и механические испытания</w:t>
      </w:r>
      <w:r/>
    </w:p>
    <w:p>
      <w:pPr>
        <w:jc w:val="center"/>
        <w:spacing w:after="120"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6"/>
          <w:szCs w:val="36"/>
        </w:rPr>
        <w:t xml:space="preserve">Определение </w:t>
      </w:r>
      <w:r>
        <w:rPr>
          <w:rFonts w:ascii="Arial" w:hAnsi="Arial" w:cs="Arial"/>
          <w:b/>
          <w:sz w:val="36"/>
          <w:szCs w:val="36"/>
        </w:rPr>
        <w:t xml:space="preserve">кажущейся плотности и массы на единицу площади</w:t>
      </w:r>
      <w:r/>
    </w:p>
    <w:p>
      <w:pPr>
        <w:jc w:val="center"/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/>
    </w:p>
    <w:p>
      <w:pPr>
        <w:jc w:val="center"/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/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(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ISO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2420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:201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7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,</w:t>
      </w:r>
      <w:r>
        <w:rPr>
          <w:rFonts w:ascii="Verdana" w:hAnsi="Verdana" w:cs="Verdana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val="en-US" w:eastAsia="ar-SA"/>
        </w:rPr>
        <w:t xml:space="preserve">IDT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)</w:t>
      </w:r>
      <w:r/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</w:r>
      <w:r/>
    </w:p>
    <w:p>
      <w:pPr>
        <w:jc w:val="center"/>
        <w:spacing w:after="0" w:line="240" w:lineRule="auto"/>
        <w:widowControl w:val="off"/>
      </w:pPr>
      <w:r/>
      <w:r/>
    </w:p>
    <w:p>
      <w:pPr>
        <w:pStyle w:val="1062"/>
        <w:jc w:val="center"/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pPr>
      <w:r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Настоящий проект стандарта не подлежит применению до его приня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тия</w:t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</w:r>
      <w:r/>
    </w:p>
    <w:p>
      <w:pPr>
        <w:pStyle w:val="1077"/>
        <w:jc w:val="center"/>
        <w:rPr>
          <w:color w:val="auto"/>
        </w:rPr>
      </w:pPr>
      <w:r>
        <w:rPr>
          <w:b/>
          <w:bCs/>
          <w:color w:val="auto"/>
        </w:rPr>
        <w:t xml:space="preserve">Минск</w:t>
      </w:r>
      <w:r/>
    </w:p>
    <w:p>
      <w:pPr>
        <w:pStyle w:val="1077"/>
        <w:jc w:val="center"/>
        <w:rPr>
          <w:color w:val="auto"/>
        </w:rPr>
      </w:pPr>
      <w:r>
        <w:rPr>
          <w:b/>
          <w:bCs/>
          <w:color w:val="auto"/>
        </w:rPr>
        <w:t xml:space="preserve">Евразийский совет по стандартизации, метрологии и сертификации</w:t>
      </w:r>
      <w:r/>
    </w:p>
    <w:p>
      <w:pPr>
        <w:pStyle w:val="1077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2022</w:t>
      </w:r>
      <w:r/>
    </w:p>
    <w:p>
      <w:pPr>
        <w:sectPr>
          <w:headerReference w:type="default" r:id="rId9"/>
          <w:headerReference w:type="even" r:id="rId10"/>
          <w:footerReference w:type="default" r:id="rId14"/>
          <w:footerReference w:type="even" r:id="rId15"/>
          <w:footnotePr/>
          <w:endnotePr/>
          <w:type w:val="nextPage"/>
          <w:pgSz w:w="11906" w:h="16838" w:orient="portrait"/>
          <w:pgMar w:top="993" w:right="851" w:bottom="1134" w:left="1418" w:header="278" w:footer="278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1077"/>
        <w:jc w:val="center"/>
        <w:spacing w:after="120" w:line="360" w:lineRule="auto"/>
        <w:rPr>
          <w:color w:val="auto"/>
        </w:rPr>
      </w:pPr>
      <w:r>
        <w:rPr>
          <w:b/>
          <w:bCs/>
          <w:color w:val="auto"/>
          <w:sz w:val="24"/>
          <w:szCs w:val="24"/>
        </w:rPr>
        <w:br w:type="page" w:clear="all"/>
      </w:r>
      <w:r>
        <w:rPr>
          <w:b/>
          <w:bCs/>
          <w:color w:val="auto"/>
          <w:sz w:val="28"/>
          <w:szCs w:val="28"/>
        </w:rPr>
        <w:t xml:space="preserve">Предисловие</w:t>
      </w:r>
      <w:r/>
    </w:p>
    <w:p>
      <w:pPr>
        <w:pStyle w:val="1076"/>
        <w:ind w:firstLine="568"/>
        <w:jc w:val="both"/>
        <w:spacing w:line="360" w:lineRule="auto"/>
      </w:pPr>
      <w:r>
        <w:rPr>
          <w:sz w:val="24"/>
          <w:szCs w:val="24"/>
        </w:rPr>
        <w:t xml:space="preserve">Евразийский совет по стандартизации, метрологии и сер</w:t>
      </w:r>
      <w:r>
        <w:rPr>
          <w:sz w:val="24"/>
          <w:szCs w:val="24"/>
        </w:rPr>
        <w:t xml:space="preserve">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  <w:r/>
    </w:p>
    <w:p>
      <w:pPr>
        <w:pStyle w:val="1098"/>
        <w:ind w:firstLine="709"/>
        <w:jc w:val="both"/>
        <w:spacing w:line="360" w:lineRule="auto"/>
        <w:widowControl/>
      </w:pPr>
      <w:r>
        <w:rPr>
          <w:rFonts w:ascii="Arial" w:hAnsi="Arial" w:cs="Arial"/>
          <w:b w:val="0"/>
          <w:szCs w:val="24"/>
        </w:rPr>
        <w:t xml:space="preserve">Цели, основные принципы и общие правила проведения работ по межгосударственной стандартизации установлены ГОСТ 1.0 «Ме</w:t>
      </w:r>
      <w:r>
        <w:rPr>
          <w:rFonts w:ascii="Arial" w:hAnsi="Arial" w:cs="Arial"/>
          <w:b w:val="0"/>
          <w:szCs w:val="24"/>
        </w:rPr>
        <w:t xml:space="preserve">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</w:t>
      </w:r>
      <w:r>
        <w:rPr>
          <w:rFonts w:ascii="Arial" w:hAnsi="Arial" w:cs="Arial"/>
          <w:b w:val="0"/>
          <w:szCs w:val="24"/>
        </w:rPr>
        <w:t xml:space="preserve">»</w:t>
      </w:r>
      <w:r>
        <w:rPr>
          <w:rFonts w:ascii="Arial" w:hAnsi="Arial" w:cs="Arial"/>
          <w:b w:val="0"/>
          <w:szCs w:val="24"/>
        </w:rPr>
        <w:t xml:space="preserve">.</w:t>
      </w:r>
      <w:r/>
    </w:p>
    <w:p>
      <w:pPr>
        <w:pStyle w:val="1076"/>
        <w:ind w:firstLine="709"/>
        <w:jc w:val="both"/>
        <w:spacing w:line="360" w:lineRule="auto"/>
      </w:pPr>
      <w:r>
        <w:rPr>
          <w:b/>
          <w:bCs/>
          <w:sz w:val="24"/>
          <w:szCs w:val="24"/>
        </w:rPr>
        <w:t xml:space="preserve">Сведения о стандарте</w:t>
      </w:r>
      <w:r/>
    </w:p>
    <w:p>
      <w:pPr>
        <w:ind w:firstLine="720"/>
        <w:jc w:val="both"/>
        <w:spacing w:line="360" w:lineRule="auto"/>
        <w:tabs>
          <w:tab w:val="left" w:pos="0" w:leader="none"/>
          <w:tab w:val="left" w:pos="9498" w:leader="none"/>
        </w:tabs>
      </w:pPr>
      <w:r>
        <w:rPr>
          <w:rFonts w:ascii="Arial" w:hAnsi="Arial" w:cs="Arial"/>
          <w:sz w:val="24"/>
          <w:szCs w:val="24"/>
        </w:rPr>
        <w:t xml:space="preserve">1 ПОДГОТОВЛЕН </w:t>
      </w:r>
      <w:r>
        <w:rPr>
          <w:rFonts w:ascii="Arial" w:hAnsi="Arial" w:cs="Arial"/>
          <w:sz w:val="24"/>
          <w:szCs w:val="24"/>
        </w:rPr>
        <w:t xml:space="preserve">Акционерным обществом </w:t>
      </w:r>
      <w:r>
        <w:rPr>
          <w:rFonts w:ascii="Arial" w:hAnsi="Arial" w:cs="Arial"/>
          <w:color w:val="000000"/>
          <w:sz w:val="24"/>
          <w:szCs w:val="24"/>
        </w:rPr>
        <w:t xml:space="preserve">«Инновационный научно-производственный центр текстильной и легкой промышленности» (АО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«ИНПЦ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ТЛП»)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основе перевода на русский язык англоязычной версии </w:t>
      </w:r>
      <w:r>
        <w:rPr>
          <w:rFonts w:ascii="Arial" w:hAnsi="Arial" w:cs="Arial"/>
          <w:sz w:val="24"/>
          <w:szCs w:val="24"/>
        </w:rPr>
        <w:t xml:space="preserve">стандарта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указанного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4</w:t>
      </w:r>
      <w:r/>
    </w:p>
    <w:p>
      <w:pPr>
        <w:ind w:firstLine="720"/>
        <w:jc w:val="both"/>
        <w:spacing w:line="360" w:lineRule="auto"/>
        <w:tabs>
          <w:tab w:val="left" w:pos="0" w:leader="none"/>
          <w:tab w:val="left" w:pos="9498" w:leader="none"/>
        </w:tabs>
      </w:pPr>
      <w:r>
        <w:rPr>
          <w:rFonts w:ascii="Arial" w:hAnsi="Arial" w:cs="Arial"/>
          <w:sz w:val="24"/>
          <w:szCs w:val="24"/>
        </w:rPr>
        <w:t xml:space="preserve">2 ВНЕСЕН Федеральным агентством по техническому регулированию и метрологии</w:t>
      </w:r>
      <w:r/>
    </w:p>
    <w:p>
      <w:pPr>
        <w:pStyle w:val="1076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 ПРИНЯТ Евразийским советом по стандартизации, метрологии и сертификации (протокол от                                                №                   </w:t>
      </w:r>
      <w:r>
        <w:rPr>
          <w:sz w:val="24"/>
          <w:szCs w:val="24"/>
        </w:rPr>
        <w:t xml:space="preserve">  )</w:t>
      </w:r>
      <w:r/>
    </w:p>
    <w:p>
      <w:pPr>
        <w:pStyle w:val="1076"/>
        <w:ind w:firstLine="709"/>
        <w:jc w:val="both"/>
        <w:spacing w:line="360" w:lineRule="auto"/>
        <w:rPr>
          <w:sz w:val="24"/>
        </w:rPr>
      </w:pPr>
      <w:r>
        <w:rPr>
          <w:sz w:val="24"/>
        </w:rPr>
        <w:t xml:space="preserve">За принятие проголосовали:</w:t>
      </w:r>
      <w:r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5107"/>
      </w:tblGrid>
      <w:tr>
        <w:trPr>
          <w:jc w:val="center"/>
          <w:tblHeader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Краткое наименование страны по МК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(ИСО 3166) 004-97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Код страны по МК (ИСО 3166) 004-97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национального органа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по стандартизации</w:t>
            </w:r>
            <w:r/>
          </w:p>
        </w:tc>
      </w:tr>
      <w:tr>
        <w:trPr>
          <w:jc w:val="center"/>
          <w:trHeight w:val="188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ind w:hanging="34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ind w:hanging="34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pStyle w:val="1076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6"/>
        <w:ind w:firstLine="709"/>
        <w:jc w:val="both"/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4 Настоящий стандарт идентичен международному стандарту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ISO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2420</w:t>
      </w:r>
      <w:r>
        <w:rPr>
          <w:sz w:val="24"/>
          <w:szCs w:val="24"/>
        </w:rPr>
        <w:t xml:space="preserve">:201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Кожа. </w:t>
      </w:r>
      <w:r>
        <w:rPr>
          <w:sz w:val="24"/>
          <w:szCs w:val="24"/>
        </w:rPr>
        <w:t xml:space="preserve">Физические и механические испытания. Определение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кажущейся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плотности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массы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единицу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площади</w:t>
      </w:r>
      <w:r>
        <w:rPr>
          <w:sz w:val="24"/>
          <w:szCs w:val="24"/>
          <w:lang w:val="en-US"/>
        </w:rPr>
        <w:t xml:space="preserve">» </w:t>
      </w:r>
      <w:r>
        <w:rPr>
          <w:sz w:val="24"/>
          <w:szCs w:val="24"/>
          <w:lang w:val="en-US"/>
        </w:rPr>
        <w:t xml:space="preserve">(</w:t>
      </w:r>
      <w:r>
        <w:rPr>
          <w:sz w:val="24"/>
          <w:szCs w:val="24"/>
          <w:lang w:val="en-US"/>
        </w:rPr>
        <w:t xml:space="preserve">«</w:t>
      </w:r>
      <w:r>
        <w:rPr>
          <w:bCs/>
          <w:sz w:val="24"/>
          <w:szCs w:val="24"/>
          <w:lang w:val="en-US"/>
        </w:rPr>
        <w:t xml:space="preserve">Leather - Physical and mechanical tests - Determination of apparent density and mass per unit area</w:t>
      </w:r>
      <w:r>
        <w:rPr>
          <w:bCs/>
          <w:i/>
          <w:iCs/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IDT</w:t>
      </w:r>
      <w:r>
        <w:rPr>
          <w:sz w:val="24"/>
          <w:szCs w:val="24"/>
          <w:lang w:val="en-US"/>
        </w:rPr>
        <w:t xml:space="preserve">)</w:t>
      </w:r>
      <w:r>
        <w:rPr>
          <w:sz w:val="24"/>
          <w:szCs w:val="24"/>
          <w:lang w:val="en-US"/>
        </w:rPr>
      </w:r>
      <w:r/>
    </w:p>
    <w:p>
      <w:pPr>
        <w:pStyle w:val="1076"/>
        <w:ind w:firstLine="709"/>
        <w:jc w:val="both"/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pStyle w:val="1076"/>
        <w:ind w:firstLine="709"/>
        <w:jc w:val="both"/>
        <w:spacing w:line="360" w:lineRule="auto"/>
        <w:rPr>
          <w:sz w:val="24"/>
        </w:rPr>
      </w:pPr>
      <w:r>
        <w:rPr>
          <w:sz w:val="24"/>
          <w:szCs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</w:t>
      </w:r>
      <w:r>
        <w:rPr>
          <w:sz w:val="24"/>
          <w:szCs w:val="24"/>
        </w:rPr>
        <w:t xml:space="preserve"> </w:t>
      </w:r>
      <w:hyperlink r:id="rId23" w:tooltip="kodeks://link/d?nd=1200114290&amp;point=mark=000000000000000000000000000000000000000000000000008PM0LV" w:history="1">
        <w:r>
          <w:rPr>
            <w:rStyle w:val="1029"/>
            <w:color w:val="auto"/>
            <w:sz w:val="24"/>
            <w:szCs w:val="24"/>
            <w:u w:val="none"/>
          </w:rPr>
          <w:t xml:space="preserve">п</w:t>
        </w:r>
        <w:r>
          <w:rPr>
            <w:rStyle w:val="1029"/>
            <w:color w:val="auto"/>
            <w:sz w:val="24"/>
            <w:szCs w:val="24"/>
            <w:u w:val="none"/>
          </w:rPr>
          <w:t xml:space="preserve">риложении ДА </w:t>
        </w:r>
      </w:hyperlink>
      <w:r/>
      <w:r/>
    </w:p>
    <w:p>
      <w:pPr>
        <w:pStyle w:val="1076"/>
        <w:ind w:firstLine="709"/>
        <w:jc w:val="both"/>
        <w:spacing w:line="360" w:lineRule="auto"/>
        <w:rPr>
          <w:sz w:val="24"/>
        </w:rPr>
      </w:pPr>
      <w:r>
        <w:rPr>
          <w:sz w:val="24"/>
        </w:rPr>
      </w:r>
      <w:r/>
    </w:p>
    <w:p>
      <w:pPr>
        <w:ind w:firstLine="709"/>
        <w:jc w:val="both"/>
        <w:spacing w:line="360" w:lineRule="auto"/>
        <w:rPr>
          <w:color w:val="000000" w:themeColor="text1"/>
        </w:rPr>
      </w:pPr>
      <w:r>
        <w:rPr>
          <w:rFonts w:ascii="Arial" w:hAnsi="Arial" w:cs="Arial"/>
          <w:sz w:val="24"/>
        </w:rPr>
        <w:t xml:space="preserve">5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Взамен </w:t>
      </w:r>
      <w:r>
        <w:rPr>
          <w:rFonts w:ascii="Arial" w:hAnsi="Arial" w:cs="Arial"/>
          <w:sz w:val="24"/>
        </w:rPr>
        <w:t xml:space="preserve">ГОСТ </w:t>
      </w:r>
      <w:r>
        <w:rPr>
          <w:rFonts w:ascii="Arial" w:hAnsi="Arial" w:cs="Arial"/>
          <w:sz w:val="24"/>
          <w:lang w:val="en-US"/>
        </w:rPr>
        <w:t xml:space="preserve">ISO</w:t>
      </w:r>
      <w:r>
        <w:rPr>
          <w:rFonts w:ascii="Arial" w:hAnsi="Arial" w:cs="Arial"/>
          <w:sz w:val="24"/>
        </w:rPr>
        <w:t xml:space="preserve"> 2420</w:t>
      </w:r>
      <w:r>
        <w:rPr>
          <w:rFonts w:ascii="Arial" w:hAnsi="Arial" w:cs="Arial"/>
          <w:sz w:val="24"/>
        </w:rPr>
        <w:t xml:space="preserve">–</w:t>
      </w:r>
      <w:r>
        <w:rPr>
          <w:rFonts w:ascii="Arial" w:hAnsi="Arial" w:cs="Arial"/>
          <w:sz w:val="24"/>
        </w:rPr>
        <w:t xml:space="preserve">201</w:t>
      </w:r>
      <w:r>
        <w:rPr>
          <w:rFonts w:ascii="Arial" w:hAnsi="Arial" w:cs="Arial"/>
          <w:sz w:val="24"/>
        </w:rPr>
        <w:t xml:space="preserve">4, </w:t>
      </w:r>
      <w:r>
        <w:rPr>
          <w:rFonts w:ascii="Arial" w:hAnsi="Arial" w:cs="Arial"/>
          <w:color w:val="000000" w:themeColor="text1"/>
          <w:sz w:val="24"/>
        </w:rPr>
        <w:t xml:space="preserve">ГОСТ 938.20-71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</w:t>
      </w:r>
      <w:r>
        <w:rPr>
          <w:rFonts w:ascii="Arial" w:hAnsi="Arial" w:cs="Arial"/>
          <w:sz w:val="24"/>
        </w:rPr>
        <w:t xml:space="preserve"> Некоторые элементы настоящего стандарта могут являться объектами патентных прав.</w:t>
      </w:r>
      <w:r/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line="360" w:lineRule="auto"/>
      </w:pPr>
      <w:r/>
      <w:r/>
    </w:p>
    <w:p>
      <w:pPr>
        <w:pStyle w:val="1076"/>
        <w:ind w:firstLine="709"/>
        <w:jc w:val="both"/>
        <w:spacing w:line="360" w:lineRule="auto"/>
      </w:pPr>
      <w:r>
        <w:rPr>
          <w:i/>
          <w:sz w:val="24"/>
          <w:szCs w:val="24"/>
        </w:rPr>
        <w:t xml:space="preserve">Информация о введении в действие (прекращении действия) настоящего стандарта и изменений к нему на территории указанных выше государств публику</w:t>
      </w:r>
      <w:r>
        <w:rPr>
          <w:i/>
          <w:sz w:val="24"/>
          <w:szCs w:val="24"/>
        </w:rPr>
        <w:t xml:space="preserve">ется в указателях национальных</w:t>
      </w:r>
      <w:r>
        <w:rPr>
          <w:i/>
          <w:sz w:val="24"/>
          <w:szCs w:val="24"/>
        </w:rPr>
        <w:t xml:space="preserve"> стандартов, издаваемых в этих государствах</w:t>
      </w:r>
      <w:r>
        <w:rPr>
          <w:i/>
          <w:sz w:val="24"/>
          <w:szCs w:val="24"/>
        </w:rPr>
        <w:t xml:space="preserve">, а также в сети Интернет на сайтах соответствующих национальных органов по стандартизации</w:t>
      </w:r>
      <w:r>
        <w:rPr>
          <w:i/>
          <w:sz w:val="24"/>
          <w:szCs w:val="24"/>
        </w:rPr>
        <w:t xml:space="preserve">.</w:t>
      </w:r>
      <w:r/>
    </w:p>
    <w:p>
      <w:pPr>
        <w:pStyle w:val="1076"/>
        <w:ind w:firstLine="709"/>
        <w:jc w:val="both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  <w:r/>
    </w:p>
    <w:p>
      <w:pPr>
        <w:pStyle w:val="1076"/>
        <w:ind w:firstLine="709"/>
        <w:jc w:val="both"/>
        <w:spacing w:line="360" w:lineRule="auto"/>
      </w:pPr>
      <w:r/>
      <w:r/>
    </w:p>
    <w:p>
      <w:pPr>
        <w:pStyle w:val="1076"/>
        <w:ind w:firstLine="568"/>
        <w:jc w:val="both"/>
      </w:pPr>
      <w:r/>
      <w:r/>
    </w:p>
    <w:p>
      <w:pPr>
        <w:pStyle w:val="1077"/>
        <w:jc w:val="both"/>
        <w:rPr>
          <w:color w:val="auto"/>
        </w:rPr>
      </w:pPr>
      <w:r>
        <w:rPr>
          <w:color w:val="auto"/>
        </w:rPr>
      </w:r>
      <w:r/>
    </w:p>
    <w:p>
      <w:pPr>
        <w:pStyle w:val="1077"/>
        <w:jc w:val="both"/>
        <w:rPr>
          <w:color w:val="auto"/>
        </w:rPr>
      </w:pPr>
      <w:r>
        <w:rPr>
          <w:color w:val="auto"/>
        </w:rPr>
      </w:r>
      <w:r/>
    </w:p>
    <w:p>
      <w:pPr>
        <w:pStyle w:val="1077"/>
        <w:jc w:val="both"/>
        <w:rPr>
          <w:color w:val="auto"/>
        </w:rPr>
      </w:pPr>
      <w:r>
        <w:rPr>
          <w:color w:val="auto"/>
        </w:rPr>
      </w:r>
      <w:r/>
    </w:p>
    <w:p>
      <w:pPr>
        <w:pStyle w:val="1077"/>
        <w:jc w:val="both"/>
        <w:rPr>
          <w:color w:val="auto"/>
        </w:rPr>
      </w:pPr>
      <w:r>
        <w:rPr>
          <w:color w:val="auto"/>
        </w:rPr>
      </w:r>
      <w:r/>
    </w:p>
    <w:p>
      <w:pPr>
        <w:pStyle w:val="1077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/>
    </w:p>
    <w:p>
      <w:pPr>
        <w:pStyle w:val="1077"/>
        <w:jc w:val="right"/>
        <w:rPr>
          <w:color w:val="auto"/>
        </w:rPr>
      </w:pPr>
      <w:r>
        <w:rPr>
          <w:color w:val="auto"/>
          <w:sz w:val="24"/>
          <w:szCs w:val="24"/>
        </w:rPr>
        <w:t xml:space="preserve">© </w:t>
      </w:r>
      <w:r>
        <w:rPr>
          <w:color w:val="auto"/>
          <w:sz w:val="24"/>
          <w:szCs w:val="24"/>
          <w:lang w:val="en-US"/>
        </w:rPr>
        <w:t xml:space="preserve">ISO</w:t>
      </w:r>
      <w:r>
        <w:rPr>
          <w:color w:val="auto"/>
          <w:sz w:val="24"/>
          <w:szCs w:val="24"/>
        </w:rPr>
        <w:t xml:space="preserve">, 20</w:t>
      </w:r>
      <w:r>
        <w:rPr>
          <w:color w:val="auto"/>
          <w:sz w:val="24"/>
          <w:szCs w:val="24"/>
        </w:rPr>
        <w:t xml:space="preserve">2_</w:t>
      </w:r>
      <w:r/>
    </w:p>
    <w:p>
      <w:pPr>
        <w:pStyle w:val="107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/>
    </w:p>
    <w:p>
      <w:pPr>
        <w:pStyle w:val="107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/>
    </w:p>
    <w:p>
      <w:pPr>
        <w:pStyle w:val="1077"/>
        <w:jc w:val="right"/>
        <w:rPr>
          <w:color w:val="auto"/>
        </w:rPr>
      </w:pPr>
      <w:r>
        <w:rPr>
          <w:color w:val="auto"/>
        </w:rPr>
      </w:r>
      <w:r/>
    </w:p>
    <w:p>
      <w:pPr>
        <w:pStyle w:val="1077"/>
        <w:jc w:val="both"/>
        <w:rPr>
          <w:color w:val="auto"/>
        </w:rPr>
      </w:pPr>
      <w:r>
        <w:rPr>
          <w:color w:val="auto"/>
        </w:rPr>
      </w:r>
      <w:r/>
    </w:p>
    <w:p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 w:type="page" w:clear="all"/>
      </w:r>
      <w:r>
        <w:rPr>
          <w:rFonts w:ascii="Arial" w:hAnsi="Arial" w:cs="Arial"/>
          <w:b/>
          <w:bCs/>
          <w:sz w:val="28"/>
          <w:szCs w:val="28"/>
        </w:rPr>
        <w:t xml:space="preserve">Содержание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79"/>
        <w:gridCol w:w="674"/>
      </w:tblGrid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7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 Область применения………………………………………………………………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7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7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 Нормативные ссылки………………………………………………………</w:t>
            </w:r>
            <w:r>
              <w:rPr>
                <w:bCs/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……..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7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7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3 Термины и определения……………………………………………………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……..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7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7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  <w:t xml:space="preserve">Сущность метода</w:t>
            </w:r>
            <w:r>
              <w:rPr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………………………………………………......................</w:t>
            </w:r>
            <w:r>
              <w:rPr>
                <w:color w:val="auto"/>
                <w:sz w:val="24"/>
                <w:szCs w:val="24"/>
              </w:rPr>
              <w:t xml:space="preserve">.............</w:t>
            </w:r>
            <w:r>
              <w:rPr>
                <w:color w:val="auto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7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7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5 </w:t>
            </w:r>
            <w:r>
              <w:rPr>
                <w:color w:val="auto"/>
                <w:sz w:val="24"/>
                <w:szCs w:val="24"/>
              </w:rPr>
              <w:t xml:space="preserve">Аппаратура……</w:t>
            </w:r>
            <w:r>
              <w:rPr>
                <w:color w:val="auto"/>
                <w:sz w:val="24"/>
                <w:szCs w:val="24"/>
              </w:rPr>
              <w:t xml:space="preserve">…………</w:t>
            </w:r>
            <w:r>
              <w:rPr>
                <w:color w:val="auto"/>
                <w:sz w:val="24"/>
                <w:szCs w:val="24"/>
              </w:rPr>
              <w:t xml:space="preserve">.......</w:t>
            </w:r>
            <w:r>
              <w:rPr>
                <w:color w:val="auto"/>
                <w:sz w:val="24"/>
                <w:szCs w:val="24"/>
              </w:rPr>
              <w:t xml:space="preserve">................................................................................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7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7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6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Отбор и подготовка образцов……………………………….</w:t>
            </w:r>
            <w:r>
              <w:rPr>
                <w:bCs/>
                <w:color w:val="auto"/>
                <w:sz w:val="24"/>
                <w:szCs w:val="24"/>
              </w:rPr>
              <w:t xml:space="preserve">..........</w:t>
            </w:r>
            <w:r>
              <w:rPr>
                <w:bCs/>
                <w:color w:val="auto"/>
                <w:sz w:val="24"/>
                <w:szCs w:val="24"/>
              </w:rPr>
              <w:t xml:space="preserve">..........................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7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7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П</w:t>
            </w:r>
            <w:r>
              <w:rPr>
                <w:color w:val="auto"/>
                <w:sz w:val="24"/>
                <w:szCs w:val="24"/>
              </w:rPr>
              <w:t xml:space="preserve">ро</w:t>
            </w:r>
            <w:r>
              <w:rPr>
                <w:color w:val="auto"/>
                <w:sz w:val="24"/>
                <w:szCs w:val="24"/>
              </w:rPr>
              <w:t xml:space="preserve">цедура………………</w:t>
            </w:r>
            <w:r>
              <w:rPr>
                <w:color w:val="auto"/>
                <w:sz w:val="24"/>
                <w:szCs w:val="24"/>
              </w:rPr>
              <w:t xml:space="preserve">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..................</w:t>
            </w:r>
            <w:r>
              <w:rPr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  <w:sz w:val="24"/>
                <w:szCs w:val="24"/>
              </w:rPr>
              <w:t xml:space="preserve">...................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7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7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Выражение </w:t>
            </w:r>
            <w:r>
              <w:rPr>
                <w:bCs/>
                <w:color w:val="auto"/>
                <w:sz w:val="24"/>
                <w:szCs w:val="24"/>
              </w:rPr>
              <w:t xml:space="preserve">результатов….</w:t>
            </w:r>
            <w:r>
              <w:rPr>
                <w:bCs/>
                <w:color w:val="auto"/>
                <w:sz w:val="24"/>
                <w:szCs w:val="24"/>
              </w:rPr>
              <w:t xml:space="preserve">.</w:t>
            </w:r>
            <w:r>
              <w:rPr>
                <w:bCs/>
                <w:color w:val="auto"/>
                <w:sz w:val="24"/>
                <w:szCs w:val="24"/>
              </w:rPr>
              <w:t xml:space="preserve">…</w:t>
            </w:r>
            <w:r>
              <w:rPr>
                <w:bCs/>
                <w:color w:val="auto"/>
                <w:sz w:val="24"/>
                <w:szCs w:val="24"/>
              </w:rPr>
              <w:t xml:space="preserve">………………</w:t>
            </w:r>
            <w:r>
              <w:rPr>
                <w:bCs/>
                <w:color w:val="auto"/>
                <w:sz w:val="24"/>
                <w:szCs w:val="24"/>
              </w:rPr>
              <w:t xml:space="preserve">………………………………………</w:t>
            </w:r>
            <w:r>
              <w:rPr>
                <w:bCs/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7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7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Протокол испытаний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7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7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ДА (справочное) </w:t>
            </w:r>
            <w:r>
              <w:rPr>
                <w:color w:val="auto"/>
                <w:sz w:val="24"/>
                <w:szCs w:val="24"/>
              </w:rPr>
              <w:t xml:space="preserve">Сведения о соответствии ссылочных международных стандартов ссылочным межгосударственным стандартам 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.…</w:t>
            </w:r>
            <w:r>
              <w:rPr>
                <w:color w:val="auto"/>
                <w:sz w:val="24"/>
                <w:szCs w:val="24"/>
              </w:rPr>
              <w:t xml:space="preserve">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/>
          </w:p>
          <w:p>
            <w:pPr>
              <w:pStyle w:val="1077"/>
              <w:ind w:left="1985" w:hanging="1985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7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</w:tbl>
    <w:p>
      <w:pPr>
        <w:jc w:val="both"/>
        <w:spacing w:line="360" w:lineRule="auto"/>
        <w:rPr>
          <w:sz w:val="24"/>
          <w:szCs w:val="24"/>
        </w:rPr>
        <w:sectPr>
          <w:headerReference w:type="default" r:id="rId11"/>
          <w:footerReference w:type="default" r:id="rId16"/>
          <w:footerReference w:type="even" r:id="rId17"/>
          <w:footnotePr/>
          <w:endnotePr/>
          <w:type w:val="continuous"/>
          <w:pgSz w:w="11906" w:h="16838" w:orient="portrait"/>
          <w:pgMar w:top="1099" w:right="851" w:bottom="1134" w:left="1418" w:header="278" w:footer="278" w:gutter="0"/>
          <w:pgNumType w:start="3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jc w:val="center"/>
        <w:spacing w:before="120"/>
        <w:shd w:val="clear" w:color="auto" w:fill="ffffff"/>
        <w:pBdr>
          <w:top w:val="none" w:color="000000" w:sz="0" w:space="0"/>
          <w:left w:val="none" w:color="000000" w:sz="0" w:space="0"/>
          <w:bottom w:val="single" w:color="000000" w:sz="4" w:space="1"/>
          <w:right w:val="none" w:color="000000" w:sz="0" w:space="0"/>
        </w:pBdr>
      </w:pPr>
      <w:r>
        <w:rPr>
          <w:rFonts w:ascii="Arial" w:hAnsi="Arial" w:cs="Arial"/>
          <w:b/>
          <w:bCs/>
          <w:spacing w:val="160"/>
          <w:sz w:val="24"/>
          <w:szCs w:val="24"/>
        </w:rPr>
        <w:t xml:space="preserve">МЕЖГОСУДАРСТВЕННЫЙ СТАНДАРТ</w:t>
      </w:r>
      <w:r/>
    </w:p>
    <w:p>
      <w:pPr>
        <w:jc w:val="center"/>
        <w:spacing w:after="120" w:line="240" w:lineRule="auto"/>
      </w:pPr>
      <w:r>
        <w:rPr>
          <w:rFonts w:ascii="Arial" w:hAnsi="Arial" w:cs="Arial"/>
          <w:b/>
          <w:sz w:val="24"/>
          <w:szCs w:val="24"/>
        </w:rPr>
        <w:t xml:space="preserve">КОЖА</w:t>
      </w:r>
      <w:r/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Физические и механические</w:t>
      </w:r>
      <w:r>
        <w:rPr>
          <w:rFonts w:ascii="Arial" w:hAnsi="Arial" w:cs="Arial"/>
          <w:b/>
          <w:sz w:val="24"/>
          <w:szCs w:val="24"/>
        </w:rPr>
        <w:t xml:space="preserve"> испытания</w:t>
      </w:r>
      <w:r/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Определение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кажущейся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плотности и массы на единицу площади</w:t>
      </w:r>
      <w:r/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</w:r>
      <w:r/>
    </w:p>
    <w:p>
      <w:pPr>
        <w:pStyle w:val="1062"/>
        <w:jc w:val="center"/>
        <w:spacing w:after="0"/>
        <w:rPr>
          <w:rFonts w:ascii="Arial" w:hAnsi="Arial" w:eastAsia="Arial" w:cs="Arial"/>
          <w:iCs/>
          <w:sz w:val="24"/>
          <w:szCs w:val="24"/>
          <w:lang w:val="en-US"/>
        </w:rPr>
      </w:pPr>
      <w:r>
        <w:rPr>
          <w:rFonts w:ascii="Arial" w:hAnsi="Arial" w:eastAsia="Arial" w:cs="Arial"/>
          <w:b/>
          <w:bCs/>
          <w:i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513715</wp:posOffset>
                </wp:positionV>
                <wp:extent cx="6251575" cy="18415"/>
                <wp:effectExtent l="13335" t="12065" r="12065" b="762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251575" cy="1841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7728;mso-wrap-distance-left:9.0pt;mso-wrap-distance-top:0.0pt;mso-wrap-distance-right:9.0pt;mso-wrap-distance-bottom:0.0pt;flip:y;visibility:visible;" from="-1.6pt,40.4pt" to="490.6pt,41.9pt" filled="f" strokecolor="#000000" strokeweight="0.99pt"/>
            </w:pict>
          </mc:Fallback>
        </mc:AlternateContent>
      </w:r>
      <w:r>
        <w:rPr>
          <w:rFonts w:ascii="Arial" w:hAnsi="Arial" w:eastAsia="Arial" w:cs="Arial"/>
          <w:iCs/>
          <w:sz w:val="24"/>
          <w:szCs w:val="24"/>
          <w:lang w:val="en-US"/>
        </w:rPr>
        <w:t xml:space="preserve">Leather</w:t>
      </w:r>
      <w:r>
        <w:rPr>
          <w:rFonts w:ascii="Arial" w:hAnsi="Arial" w:eastAsia="Arial" w:cs="Arial"/>
          <w:iCs/>
          <w:sz w:val="24"/>
          <w:szCs w:val="24"/>
          <w:lang w:val="en-US"/>
        </w:rPr>
        <w:t xml:space="preserve">. </w:t>
      </w:r>
      <w:r>
        <w:rPr>
          <w:rFonts w:ascii="Arial" w:hAnsi="Arial" w:eastAsia="Arial" w:cs="Arial"/>
          <w:iCs/>
          <w:sz w:val="24"/>
          <w:szCs w:val="24"/>
          <w:lang w:val="en-US"/>
        </w:rPr>
        <w:t xml:space="preserve">Physical and mechanical tests</w:t>
      </w:r>
      <w:r>
        <w:rPr>
          <w:rFonts w:ascii="Arial" w:hAnsi="Arial" w:eastAsia="Arial" w:cs="Arial"/>
          <w:iCs/>
          <w:sz w:val="24"/>
          <w:szCs w:val="24"/>
          <w:lang w:val="en-US"/>
        </w:rPr>
        <w:t xml:space="preserve">. </w:t>
      </w:r>
      <w:r>
        <w:rPr>
          <w:rFonts w:ascii="Arial" w:hAnsi="Arial" w:eastAsia="Arial" w:cs="Arial"/>
          <w:iCs/>
          <w:sz w:val="24"/>
          <w:szCs w:val="24"/>
          <w:lang w:val="en-US"/>
        </w:rPr>
        <w:t xml:space="preserve">Determination of apparent</w:t>
      </w:r>
      <w:r/>
    </w:p>
    <w:p>
      <w:pPr>
        <w:pStyle w:val="1062"/>
        <w:jc w:val="center"/>
        <w:spacing w:after="0"/>
        <w:rPr>
          <w:iCs/>
          <w:lang w:val="en-US"/>
        </w:rPr>
      </w:pPr>
      <w:r>
        <w:rPr>
          <w:rFonts w:ascii="Arial" w:hAnsi="Arial" w:eastAsia="Arial" w:cs="Arial"/>
          <w:iCs/>
          <w:sz w:val="24"/>
          <w:szCs w:val="24"/>
          <w:lang w:val="en-US"/>
        </w:rPr>
        <w:t xml:space="preserve">density and mass per unit area</w:t>
      </w:r>
      <w:r/>
    </w:p>
    <w:p>
      <w:pPr>
        <w:tabs>
          <w:tab w:val="left" w:pos="5844" w:leader="none"/>
          <w:tab w:val="left" w:pos="6329" w:leader="none"/>
          <w:tab w:val="right" w:pos="9921" w:leader="none"/>
        </w:tabs>
        <w:rPr>
          <w:lang w:val="en-US"/>
        </w:rPr>
      </w:pPr>
      <w:r>
        <w:rPr>
          <w:lang w:val="en-US"/>
        </w:rPr>
        <w:tab/>
      </w:r>
      <w:r/>
    </w:p>
    <w:p>
      <w:pPr>
        <w:jc w:val="right"/>
        <w:tabs>
          <w:tab w:val="left" w:pos="5844" w:leader="none"/>
          <w:tab w:val="left" w:pos="6329" w:leader="none"/>
          <w:tab w:val="right" w:pos="9921" w:leader="none"/>
        </w:tabs>
      </w:pPr>
      <w:r>
        <w:rPr>
          <w:rFonts w:ascii="Arial" w:hAnsi="Arial" w:cs="Arial"/>
          <w:b/>
          <w:sz w:val="24"/>
          <w:szCs w:val="24"/>
        </w:rPr>
        <w:t xml:space="preserve">Дата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введения</w:t>
      </w:r>
      <w:r>
        <w:rPr>
          <w:rFonts w:ascii="Arial" w:hAnsi="Arial" w:cs="Arial"/>
          <w:b/>
          <w:sz w:val="24"/>
          <w:szCs w:val="24"/>
        </w:rPr>
        <w:t xml:space="preserve">      </w:t>
      </w:r>
      <w:r/>
    </w:p>
    <w:p>
      <w:pPr>
        <w:pStyle w:val="1077"/>
        <w:ind w:firstLine="709"/>
        <w:jc w:val="both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/>
    </w:p>
    <w:p>
      <w:pPr>
        <w:pStyle w:val="1077"/>
        <w:ind w:firstLine="709"/>
        <w:jc w:val="both"/>
        <w:spacing w:line="360" w:lineRule="auto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1 Область применения</w:t>
      </w:r>
      <w:r/>
    </w:p>
    <w:p>
      <w:pPr>
        <w:pStyle w:val="1076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стандарт </w:t>
      </w:r>
      <w:r>
        <w:rPr>
          <w:sz w:val="24"/>
          <w:szCs w:val="24"/>
        </w:rPr>
        <w:t xml:space="preserve">устанавливает метод определения кажущейся плотности и массы на единицу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площади кожи. Применим для всех кож</w:t>
      </w:r>
      <w:r>
        <w:rPr>
          <w:sz w:val="24"/>
          <w:szCs w:val="24"/>
        </w:rPr>
        <w:t xml:space="preserve">.</w:t>
      </w:r>
      <w:r/>
    </w:p>
    <w:p>
      <w:pPr>
        <w:pStyle w:val="1076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7"/>
        <w:ind w:firstLine="709"/>
        <w:jc w:val="both"/>
        <w:spacing w:line="360" w:lineRule="auto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2 Нормативные ссылки</w:t>
      </w:r>
      <w:r/>
    </w:p>
    <w:p>
      <w:pPr>
        <w:pStyle w:val="1076"/>
        <w:ind w:firstLine="709"/>
        <w:jc w:val="both"/>
        <w:spacing w:line="360" w:lineRule="auto"/>
      </w:pPr>
      <w:r>
        <w:rPr>
          <w:sz w:val="24"/>
          <w:szCs w:val="24"/>
        </w:rPr>
        <w:t xml:space="preserve">В настоящем стандарте использованы нормативные ссылки на следующие стандарты</w:t>
      </w:r>
      <w:r>
        <w:rPr>
          <w:sz w:val="24"/>
          <w:szCs w:val="24"/>
        </w:rPr>
        <w:t xml:space="preserve"> [д</w:t>
      </w:r>
      <w:r>
        <w:rPr>
          <w:sz w:val="24"/>
          <w:szCs w:val="24"/>
        </w:rPr>
        <w:t xml:space="preserve">ля датированных ссылок применяют только указанное издание ссылочного стандарта, для недатированных – последнее издание (включая все изменения)</w:t>
      </w:r>
      <w:r>
        <w:rPr>
          <w:sz w:val="24"/>
          <w:szCs w:val="24"/>
        </w:rPr>
        <w:t xml:space="preserve">]: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ISO 2418, </w:t>
      </w:r>
      <w:r>
        <w:rPr>
          <w:rFonts w:ascii="Arial" w:hAnsi="Arial" w:cs="Arial"/>
          <w:sz w:val="24"/>
          <w:szCs w:val="24"/>
          <w:lang w:val="en-US"/>
        </w:rPr>
        <w:t xml:space="preserve">Leather – Chemical, </w:t>
      </w:r>
      <w:r>
        <w:rPr>
          <w:rFonts w:ascii="Arial" w:hAnsi="Arial" w:cs="Arial"/>
          <w:sz w:val="24"/>
          <w:szCs w:val="24"/>
          <w:lang w:val="en-US"/>
        </w:rPr>
        <w:t xml:space="preserve">physical</w:t>
      </w:r>
      <w:r>
        <w:rPr>
          <w:rFonts w:ascii="Arial" w:hAnsi="Arial" w:cs="Arial"/>
          <w:sz w:val="24"/>
          <w:szCs w:val="24"/>
          <w:lang w:val="en-US"/>
        </w:rPr>
        <w:t xml:space="preserve"> and mechanical and fastness tests – Sampling location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(</w:t>
      </w:r>
      <w:r>
        <w:rPr>
          <w:rFonts w:ascii="Arial" w:hAnsi="Arial" w:cs="Arial"/>
          <w:sz w:val="24"/>
          <w:szCs w:val="24"/>
        </w:rPr>
        <w:t xml:space="preserve">Кожа</w:t>
      </w:r>
      <w:r>
        <w:rPr>
          <w:rFonts w:ascii="Arial" w:hAnsi="Arial" w:cs="Arial"/>
          <w:sz w:val="24"/>
          <w:szCs w:val="24"/>
          <w:lang w:val="en-US"/>
        </w:rPr>
        <w:t xml:space="preserve"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Химические, физические и механические испытания и испытания на устойчивость. Установление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места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отбора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образцов</w:t>
      </w:r>
      <w:r>
        <w:rPr>
          <w:rFonts w:ascii="Arial" w:hAnsi="Arial" w:cs="Arial"/>
          <w:sz w:val="24"/>
          <w:szCs w:val="24"/>
          <w:lang w:val="en-US"/>
        </w:rPr>
        <w:t xml:space="preserve">)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ISO </w:t>
      </w:r>
      <w:r>
        <w:rPr>
          <w:rFonts w:ascii="Arial" w:hAnsi="Arial" w:cs="Arial"/>
          <w:sz w:val="24"/>
          <w:szCs w:val="24"/>
          <w:lang w:val="en-US"/>
        </w:rPr>
        <w:t xml:space="preserve">2419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Leather — Physical and mechanical tests — Sample preparation and conditioning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Кожа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Физи</w:t>
      </w:r>
      <w:r>
        <w:rPr>
          <w:rFonts w:ascii="Arial" w:hAnsi="Arial" w:cs="Arial"/>
          <w:sz w:val="24"/>
          <w:szCs w:val="24"/>
        </w:rPr>
        <w:t xml:space="preserve">ческие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механические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испытания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Подготовка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кондиционирование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образцов</w:t>
      </w:r>
      <w:r>
        <w:rPr>
          <w:rFonts w:ascii="Arial" w:hAnsi="Arial" w:cs="Arial"/>
          <w:sz w:val="24"/>
          <w:szCs w:val="24"/>
          <w:lang w:val="en-US"/>
        </w:rPr>
        <w:t xml:space="preserve">)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ISO </w:t>
      </w:r>
      <w:r>
        <w:rPr>
          <w:rFonts w:ascii="Arial" w:hAnsi="Arial" w:cs="Arial"/>
          <w:sz w:val="24"/>
          <w:szCs w:val="24"/>
          <w:lang w:val="en-US"/>
        </w:rPr>
        <w:t xml:space="preserve">2589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Leather — Physical and mechanical tests — Determination of thickness </w:t>
      </w:r>
      <w:r>
        <w:rPr>
          <w:rFonts w:ascii="Arial" w:hAnsi="Arial" w:cs="Arial"/>
          <w:sz w:val="24"/>
          <w:szCs w:val="24"/>
          <w:lang w:val="en-US"/>
        </w:rPr>
        <w:t xml:space="preserve">(</w:t>
      </w:r>
      <w:r>
        <w:rPr>
          <w:rFonts w:ascii="Arial" w:hAnsi="Arial" w:cs="Arial"/>
          <w:sz w:val="24"/>
          <w:szCs w:val="24"/>
        </w:rPr>
        <w:t xml:space="preserve">Кожа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Физические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механические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испытания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Определение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толщины</w:t>
      </w:r>
      <w:r>
        <w:rPr>
          <w:rFonts w:ascii="Arial" w:hAnsi="Arial" w:cs="Arial"/>
          <w:sz w:val="24"/>
          <w:szCs w:val="24"/>
          <w:lang w:val="en-US"/>
        </w:rPr>
        <w:t xml:space="preserve">)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EN 15987</w:t>
      </w:r>
      <w:r>
        <w:rPr>
          <w:rFonts w:ascii="Arial" w:hAnsi="Arial" w:cs="Arial"/>
          <w:sz w:val="24"/>
          <w:szCs w:val="24"/>
          <w:lang w:val="en-US"/>
        </w:rPr>
        <w:t xml:space="preserve">, Leather — Terminology — Key definitions for the leather trade (</w:t>
      </w:r>
      <w:r>
        <w:rPr>
          <w:rFonts w:ascii="Arial" w:hAnsi="Arial" w:cs="Arial"/>
          <w:sz w:val="24"/>
          <w:szCs w:val="24"/>
        </w:rPr>
        <w:t xml:space="preserve">Кожа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Терминология. Ключевые определения для торговли кожей)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1076"/>
        <w:ind w:firstLine="709"/>
        <w:jc w:val="both"/>
        <w:spacing w:line="360" w:lineRule="auto"/>
      </w:pPr>
      <w:r>
        <w:rPr>
          <w:b/>
          <w:bCs/>
          <w:sz w:val="28"/>
          <w:szCs w:val="28"/>
        </w:rPr>
        <w:t xml:space="preserve">3 Термины и определения</w:t>
      </w:r>
      <w:r/>
    </w:p>
    <w:p>
      <w:pPr>
        <w:pStyle w:val="1076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настоящем стандарте примен</w:t>
      </w:r>
      <w:r>
        <w:rPr>
          <w:sz w:val="24"/>
          <w:szCs w:val="24"/>
        </w:rPr>
        <w:t xml:space="preserve">яют</w:t>
      </w:r>
      <w:r>
        <w:rPr>
          <w:sz w:val="24"/>
          <w:szCs w:val="24"/>
        </w:rPr>
        <w:t xml:space="preserve"> термин</w:t>
      </w:r>
      <w:r>
        <w:rPr>
          <w:sz w:val="24"/>
          <w:szCs w:val="24"/>
        </w:rPr>
        <w:t xml:space="preserve">ы и определения</w:t>
      </w:r>
      <w:r>
        <w:rPr>
          <w:sz w:val="24"/>
          <w:szCs w:val="24"/>
        </w:rPr>
        <w:t xml:space="preserve">, указанные в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 xml:space="preserve">EN</w:t>
      </w:r>
      <w:r>
        <w:rPr>
          <w:sz w:val="24"/>
          <w:szCs w:val="24"/>
        </w:rPr>
        <w:t xml:space="preserve"> 15987</w:t>
      </w:r>
      <w:r>
        <w:rPr>
          <w:sz w:val="24"/>
          <w:szCs w:val="24"/>
        </w:rPr>
        <w:t xml:space="preserve">.</w:t>
      </w:r>
      <w:r/>
    </w:p>
    <w:p>
      <w:pPr>
        <w:pStyle w:val="1076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ISO и IEC поддерживают терминологические базы данных для использования в </w:t>
      </w:r>
      <w:r>
        <w:rPr>
          <w:sz w:val="24"/>
          <w:szCs w:val="24"/>
        </w:rPr>
        <w:t xml:space="preserve">стандартизации по следующим адресам:</w:t>
      </w:r>
      <w:r/>
    </w:p>
    <w:p>
      <w:pPr>
        <w:pStyle w:val="1076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ISO онлайн платформа для просмотра доступна по адресу https://www.iso.org/obp/</w:t>
      </w:r>
      <w:r>
        <w:rPr>
          <w:sz w:val="24"/>
          <w:szCs w:val="24"/>
        </w:rPr>
        <w:t xml:space="preserve">;</w:t>
      </w:r>
      <w:r/>
    </w:p>
    <w:p>
      <w:pPr>
        <w:pStyle w:val="1076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IEC </w:t>
      </w:r>
      <w:r>
        <w:rPr>
          <w:sz w:val="24"/>
          <w:szCs w:val="24"/>
        </w:rPr>
        <w:t xml:space="preserve">Electropedia</w:t>
      </w:r>
      <w:r>
        <w:rPr>
          <w:sz w:val="24"/>
          <w:szCs w:val="24"/>
        </w:rPr>
        <w:t xml:space="preserve">: доступно по адресу http://www.electropedia.org/</w:t>
      </w:r>
      <w:r/>
    </w:p>
    <w:p>
      <w:pPr>
        <w:pStyle w:val="1077"/>
        <w:ind w:firstLine="709"/>
        <w:jc w:val="both"/>
        <w:spacing w:line="360" w:lineRule="auto"/>
        <w:rPr>
          <w:color w:val="auto"/>
        </w:rPr>
      </w:pPr>
      <w:r>
        <w:rPr>
          <w:color w:val="auto"/>
        </w:rPr>
      </w:r>
      <w:r/>
    </w:p>
    <w:p>
      <w:pPr>
        <w:pStyle w:val="1077"/>
        <w:ind w:firstLine="709"/>
        <w:jc w:val="both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</w:t>
      </w:r>
      <w:r>
        <w:rPr>
          <w:b/>
          <w:bCs/>
          <w:color w:val="auto"/>
          <w:sz w:val="28"/>
          <w:szCs w:val="28"/>
        </w:rPr>
        <w:t xml:space="preserve">Сущность метода</w:t>
      </w:r>
      <w:r/>
    </w:p>
    <w:p>
      <w:pPr>
        <w:pStyle w:val="1077"/>
        <w:ind w:firstLine="709"/>
        <w:jc w:val="both"/>
        <w:spacing w:after="240"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Объем испытуемой пробы вычисляют по показателям площади и толщины, при этом испытуемая проба</w:t>
      </w:r>
      <w:r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может иметь форму круглого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прямого</w:t>
      </w:r>
      <w:r>
        <w:rPr>
          <w:bCs/>
          <w:color w:val="000000" w:themeColor="text1"/>
          <w:sz w:val="24"/>
          <w:szCs w:val="28"/>
        </w:rPr>
        <w:t xml:space="preserve"> цилиндра или форму </w:t>
      </w:r>
      <w:r>
        <w:rPr>
          <w:bCs/>
          <w:color w:val="000000" w:themeColor="text1"/>
          <w:sz w:val="24"/>
          <w:szCs w:val="28"/>
        </w:rPr>
        <w:t xml:space="preserve">прямого параллелепипеда </w:t>
      </w:r>
      <w:r>
        <w:rPr>
          <w:bCs/>
          <w:color w:val="000000" w:themeColor="text1"/>
          <w:sz w:val="24"/>
          <w:szCs w:val="28"/>
        </w:rPr>
        <w:t xml:space="preserve">с квадратным основанием. Ка</w:t>
      </w:r>
      <w:r>
        <w:rPr>
          <w:bCs/>
          <w:color w:val="auto"/>
          <w:sz w:val="24"/>
          <w:szCs w:val="28"/>
        </w:rPr>
        <w:t xml:space="preserve">жущуюся</w:t>
      </w:r>
      <w:r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плотность определяют путем деления массы на объем. Масс</w:t>
      </w:r>
      <w:r>
        <w:rPr>
          <w:bCs/>
          <w:color w:val="auto"/>
          <w:sz w:val="24"/>
          <w:szCs w:val="28"/>
        </w:rPr>
        <w:t xml:space="preserve">у</w:t>
      </w:r>
      <w:r>
        <w:rPr>
          <w:bCs/>
          <w:color w:val="auto"/>
          <w:sz w:val="24"/>
          <w:szCs w:val="28"/>
        </w:rPr>
        <w:t xml:space="preserve"> на единицу площади </w:t>
      </w:r>
      <w:r>
        <w:rPr>
          <w:bCs/>
          <w:color w:val="auto"/>
          <w:sz w:val="24"/>
          <w:szCs w:val="28"/>
        </w:rPr>
        <w:t xml:space="preserve">определяют</w:t>
      </w:r>
      <w:r>
        <w:rPr>
          <w:bCs/>
          <w:color w:val="auto"/>
          <w:sz w:val="24"/>
          <w:szCs w:val="28"/>
        </w:rPr>
        <w:t xml:space="preserve"> путем</w:t>
      </w:r>
      <w:r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деления массы на площадь</w:t>
      </w:r>
      <w:r>
        <w:rPr>
          <w:bCs/>
          <w:color w:val="auto"/>
          <w:sz w:val="24"/>
          <w:szCs w:val="28"/>
        </w:rPr>
        <w:t xml:space="preserve">.</w:t>
      </w:r>
      <w:r/>
    </w:p>
    <w:p>
      <w:pPr>
        <w:pStyle w:val="1077"/>
        <w:ind w:firstLine="709"/>
        <w:jc w:val="both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</w:t>
      </w:r>
      <w:r>
        <w:rPr>
          <w:b/>
          <w:bCs/>
          <w:color w:val="auto"/>
          <w:sz w:val="28"/>
          <w:szCs w:val="28"/>
        </w:rPr>
        <w:t xml:space="preserve">Аппаратура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5.1 </w:t>
      </w:r>
      <w:r>
        <w:rPr>
          <w:rFonts w:ascii="Arial" w:hAnsi="Arial" w:cs="Arial"/>
          <w:b/>
          <w:bCs/>
          <w:sz w:val="24"/>
          <w:szCs w:val="28"/>
        </w:rPr>
        <w:t xml:space="preserve">Резак</w:t>
      </w:r>
      <w:r>
        <w:rPr>
          <w:rFonts w:ascii="Arial" w:hAnsi="Arial" w:cs="Arial"/>
          <w:b/>
          <w:bCs/>
          <w:sz w:val="24"/>
          <w:szCs w:val="28"/>
        </w:rPr>
        <w:t xml:space="preserve">, </w:t>
      </w:r>
      <w:r>
        <w:rPr>
          <w:rFonts w:ascii="Arial" w:hAnsi="Arial" w:cs="Arial"/>
          <w:bCs/>
          <w:sz w:val="24"/>
          <w:szCs w:val="28"/>
        </w:rPr>
        <w:t xml:space="preserve">соответствующий ISO 2419, внутренняя стенка которого пред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ставляет собой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круг диаметром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приблизительно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70 мм или квадрат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размером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приблизительно </w:t>
      </w:r>
      <w:r>
        <w:rPr>
          <w:rFonts w:ascii="Arial" w:hAnsi="Arial" w:cs="Arial"/>
          <w:bCs/>
          <w:sz w:val="24"/>
          <w:szCs w:val="28"/>
        </w:rPr>
        <w:t xml:space="preserve">(100 x 100) мм</w:t>
      </w:r>
      <w:r>
        <w:rPr>
          <w:rFonts w:ascii="Arial" w:hAnsi="Arial" w:cs="Arial"/>
          <w:bCs/>
          <w:sz w:val="24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5.</w:t>
      </w:r>
      <w:r>
        <w:rPr>
          <w:rFonts w:ascii="Arial" w:hAnsi="Arial" w:cs="Arial"/>
          <w:b/>
          <w:bCs/>
          <w:sz w:val="24"/>
          <w:szCs w:val="28"/>
        </w:rPr>
        <w:t xml:space="preserve">2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>
        <w:rPr>
          <w:rFonts w:ascii="Arial" w:hAnsi="Arial" w:cs="Arial"/>
          <w:b/>
          <w:bCs/>
          <w:sz w:val="24"/>
          <w:szCs w:val="28"/>
        </w:rPr>
        <w:t xml:space="preserve">Толщиномер</w:t>
      </w:r>
      <w:r>
        <w:rPr>
          <w:rFonts w:ascii="Arial" w:hAnsi="Arial" w:cs="Arial"/>
          <w:sz w:val="24"/>
          <w:szCs w:val="28"/>
        </w:rPr>
        <w:t xml:space="preserve">,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указанный в</w:t>
      </w:r>
      <w:r>
        <w:rPr>
          <w:rFonts w:ascii="Arial" w:hAnsi="Arial" w:cs="Arial"/>
          <w:color w:val="00b050"/>
          <w:sz w:val="24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  <w:lang w:val="en-US"/>
        </w:rPr>
        <w:t xml:space="preserve">ISO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 2589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.</w:t>
      </w:r>
      <w:r>
        <w:rPr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5.3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Весы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с ценой деления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до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0,001 г.</w:t>
      </w:r>
      <w:r>
        <w:rPr>
          <w:color w:val="000000" w:themeColor="text1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5.4 Штангенциркули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 нониусом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с ценой деления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до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0,01 мм.</w:t>
      </w:r>
      <w:r>
        <w:rPr>
          <w:color w:val="000000" w:themeColor="text1"/>
        </w:rPr>
      </w:r>
    </w:p>
    <w:p>
      <w:pPr>
        <w:pStyle w:val="1076"/>
        <w:ind w:firstLine="709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6 </w:t>
      </w:r>
      <w:r>
        <w:rPr>
          <w:b/>
          <w:bCs/>
          <w:sz w:val="28"/>
          <w:szCs w:val="28"/>
        </w:rPr>
        <w:t xml:space="preserve">Отбор и подготовка образцов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Отбор образцов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проводят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 с</w:t>
      </w:r>
      <w:r>
        <w:rPr>
          <w:rFonts w:ascii="Arial" w:hAnsi="Arial" w:cs="Arial"/>
          <w:sz w:val="24"/>
          <w:szCs w:val="24"/>
        </w:rPr>
        <w:t xml:space="preserve">оответствии с ISO 2418. Из образца вырезают три испытуемые пробы, прикладывая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резак (5.1) к лицевой поверхности, и кондиционируют их в соответствии с ISO 2419.</w:t>
      </w:r>
      <w:r/>
    </w:p>
    <w:p>
      <w:pPr>
        <w:ind w:firstLine="720"/>
        <w:jc w:val="bot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требуется испытать более двух кож из одной партии, то следует брать только по одной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испытуемой пробе от каждой кожи с учетом того, чтобы общее количество испытуемых проб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испытаний было не менее трех.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 xml:space="preserve">Процедура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7.1 </w:t>
      </w:r>
      <w:r>
        <w:rPr>
          <w:rFonts w:ascii="Arial" w:hAnsi="Arial" w:cs="Arial"/>
          <w:b/>
          <w:bCs/>
          <w:sz w:val="24"/>
          <w:szCs w:val="28"/>
        </w:rPr>
        <w:t xml:space="preserve">Условия испытаний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Все операции 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выполняют</w:t>
      </w:r>
      <w:r>
        <w:rPr>
          <w:rFonts w:ascii="Arial" w:hAnsi="Arial" w:cs="Arial"/>
          <w:sz w:val="24"/>
          <w:szCs w:val="28"/>
        </w:rPr>
        <w:t xml:space="preserve"> в стандартных атмосферных условиях, </w:t>
      </w:r>
      <w:r>
        <w:rPr>
          <w:rFonts w:ascii="Arial" w:hAnsi="Arial" w:cs="Arial"/>
          <w:sz w:val="24"/>
          <w:szCs w:val="28"/>
        </w:rPr>
        <w:t xml:space="preserve">как указано в </w:t>
      </w:r>
      <w:r>
        <w:rPr>
          <w:rFonts w:ascii="Arial" w:hAnsi="Arial" w:cs="Arial"/>
          <w:sz w:val="24"/>
          <w:szCs w:val="28"/>
        </w:rPr>
        <w:t xml:space="preserve">ISO 2419.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7.2 Измерение толщины</w:t>
      </w:r>
      <w:r/>
    </w:p>
    <w:p>
      <w:pPr>
        <w:ind w:firstLine="709"/>
        <w:jc w:val="both"/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Толщину каждой испытуемой пробы измеряют в соответствии с ISO 2589. Толщину</w:t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измеряют в миллиметрах в трех точках, образующих </w:t>
      </w:r>
      <w:r>
        <w:rPr>
          <w:rFonts w:ascii="Arial" w:hAnsi="Arial" w:cs="Arial"/>
          <w:sz w:val="24"/>
          <w:szCs w:val="28"/>
        </w:rPr>
        <w:t xml:space="preserve">вершины </w:t>
      </w:r>
      <w:r>
        <w:rPr>
          <w:rFonts w:ascii="Arial" w:hAnsi="Arial" w:cs="Arial"/>
          <w:sz w:val="24"/>
          <w:szCs w:val="28"/>
        </w:rPr>
        <w:t xml:space="preserve">угл</w:t>
      </w:r>
      <w:r>
        <w:rPr>
          <w:rFonts w:ascii="Arial" w:hAnsi="Arial" w:cs="Arial"/>
          <w:sz w:val="24"/>
          <w:szCs w:val="28"/>
        </w:rPr>
        <w:t xml:space="preserve">ов</w:t>
      </w:r>
      <w:r>
        <w:rPr>
          <w:rFonts w:ascii="Arial" w:hAnsi="Arial" w:cs="Arial"/>
          <w:sz w:val="24"/>
          <w:szCs w:val="28"/>
        </w:rPr>
        <w:t xml:space="preserve"> равностороннего треугольника, каждая из</w:t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которых расположена на расстоянии примерно 20 мм от центра испытуемой пробы. Измеряют толщину в центре </w:t>
      </w:r>
      <w:r>
        <w:rPr>
          <w:rFonts w:ascii="Arial" w:hAnsi="Arial" w:cs="Arial"/>
          <w:sz w:val="24"/>
          <w:szCs w:val="28"/>
        </w:rPr>
        <w:t xml:space="preserve">испытуемой пробы. За толщину </w:t>
      </w:r>
      <w:r>
        <w:rPr>
          <w:rFonts w:ascii="Arial" w:hAnsi="Arial" w:cs="Arial"/>
          <w:sz w:val="24"/>
          <w:szCs w:val="28"/>
        </w:rPr>
        <w:t xml:space="preserve">испытуемой пробы, </w:t>
      </w:r>
      <w:r>
        <w:rPr>
          <w:rFonts w:ascii="Arial" w:hAnsi="Arial" w:cs="Arial"/>
          <w:i/>
          <w:iCs/>
          <w:sz w:val="24"/>
          <w:szCs w:val="28"/>
        </w:rPr>
        <w:t xml:space="preserve">t,</w:t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принимают среднее арифметическое</w:t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четырех результатов</w:t>
      </w:r>
      <w:r>
        <w:rPr>
          <w:rFonts w:ascii="Arial" w:hAnsi="Arial" w:cs="Arial"/>
          <w:sz w:val="24"/>
          <w:szCs w:val="28"/>
        </w:rPr>
        <w:t xml:space="preserve"> измерений</w:t>
      </w:r>
      <w:r>
        <w:rPr>
          <w:rFonts w:ascii="Arial" w:hAnsi="Arial" w:cs="Arial"/>
          <w:sz w:val="24"/>
          <w:szCs w:val="28"/>
        </w:rPr>
        <w:t xml:space="preserve">.</w:t>
      </w:r>
      <w:r/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pacing w:val="20"/>
        </w:rPr>
        <w:t xml:space="preserve">Примечание </w:t>
      </w:r>
      <w:r>
        <w:rPr>
          <w:rFonts w:ascii="Arial" w:hAnsi="Arial" w:cs="Arial"/>
        </w:rPr>
        <w:t xml:space="preserve">– Центр испытуемой пробы и другие точки измерения оценивают визуально.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7.3 Измерение размеров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испытуемых пробах круглой формы измеряют диаметр с помощью штангенциркуля</w:t>
      </w:r>
      <w:r>
        <w:rPr>
          <w:rFonts w:ascii="Arial" w:hAnsi="Arial" w:cs="Arial"/>
          <w:sz w:val="24"/>
          <w:szCs w:val="24"/>
          <w:lang w:val="en-US"/>
        </w:rPr>
        <w:t xml:space="preserve"> c </w:t>
      </w:r>
      <w:r>
        <w:rPr>
          <w:rFonts w:ascii="Arial" w:hAnsi="Arial" w:cs="Arial"/>
          <w:sz w:val="24"/>
          <w:szCs w:val="24"/>
          <w:lang w:val="ru-RU"/>
        </w:rPr>
        <w:t xml:space="preserve">нониусо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5.4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ближайших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0,05 мм в двух направлениях под прямым углом друг к другу на лицевой поверхности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 в двух направлениях под прямым углом на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бахтармяной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поверхности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За средний диаметр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испытуемой пробы,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принимают среднее арифметическое четырех результатов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измерений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Отбраковывают каждую испытуемую пробу, диаметры которой на лицевой поверхности или на бахтармяной поверхности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отличаются более чем на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0,5 мм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</w:t>
      </w:r>
      <w:r>
        <w:rPr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На испытуемых пробах квадратной формы измеряют расстояние AC и BD, где A, B, C и D – это средние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точки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измеренные с помощью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штангенциркуля с нониусом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(5.4)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до ближайших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0,05 мм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как показано на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р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исунке 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для которых допустимое отклонение от середины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испытуемой пробы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составляет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0,5 мм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Измеряют расстояния как на лицевой поверхности кожи, так и 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поверхности бахтармы. Бе</w:t>
      </w:r>
      <w:r>
        <w:rPr>
          <w:rFonts w:ascii="Arial" w:hAnsi="Arial" w:cs="Arial"/>
          <w:sz w:val="24"/>
          <w:szCs w:val="24"/>
        </w:rPr>
        <w:t xml:space="preserve">рут среднее арифметическое результатов для двух измерений AC, </w:t>
      </w:r>
      <w:r>
        <w:rPr>
          <w:rFonts w:ascii="Arial" w:hAnsi="Arial" w:cs="Arial"/>
          <w:sz w:val="24"/>
          <w:szCs w:val="24"/>
        </w:rPr>
        <w:t xml:space="preserve">(</w:t>
      </w:r>
      <w:r>
        <w:rPr>
          <w:rFonts w:ascii="Arial" w:hAnsi="Arial" w:cs="Arial"/>
          <w:sz w:val="24"/>
          <w:szCs w:val="24"/>
        </w:rPr>
        <w:t xml:space="preserve">a</w:t>
      </w:r>
      <w:r>
        <w:rPr>
          <w:rFonts w:ascii="Arial" w:hAnsi="Arial" w:cs="Arial"/>
          <w:sz w:val="24"/>
          <w:szCs w:val="24"/>
        </w:rPr>
        <w:t xml:space="preserve">)</w:t>
      </w:r>
      <w:r>
        <w:rPr>
          <w:rFonts w:ascii="Arial" w:hAnsi="Arial" w:cs="Arial"/>
          <w:sz w:val="24"/>
          <w:szCs w:val="24"/>
        </w:rPr>
        <w:t xml:space="preserve">, 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BD, </w:t>
      </w:r>
      <w:r>
        <w:rPr>
          <w:rFonts w:ascii="Arial" w:hAnsi="Arial" w:cs="Arial"/>
          <w:sz w:val="24"/>
          <w:szCs w:val="24"/>
        </w:rPr>
        <w:t xml:space="preserve">(</w:t>
      </w:r>
      <w:r>
        <w:rPr>
          <w:rFonts w:ascii="Arial" w:hAnsi="Arial" w:cs="Arial"/>
          <w:sz w:val="24"/>
          <w:szCs w:val="24"/>
        </w:rPr>
        <w:t xml:space="preserve">b</w:t>
      </w:r>
      <w:r>
        <w:rPr>
          <w:rFonts w:ascii="Arial" w:hAnsi="Arial" w:cs="Arial"/>
          <w:sz w:val="24"/>
          <w:szCs w:val="24"/>
        </w:rPr>
        <w:t xml:space="preserve">)</w:t>
      </w:r>
      <w:r>
        <w:rPr>
          <w:rFonts w:ascii="Arial" w:hAnsi="Arial" w:cs="Arial"/>
          <w:sz w:val="24"/>
          <w:szCs w:val="24"/>
        </w:rPr>
        <w:t xml:space="preserve">, соответственно. Отбраковывают каждую испытуемую пробу, если расстояние, измеренное на лицевой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поверхности кожи, отличается более чем на </w:t>
      </w:r>
      <w:r>
        <w:rPr>
          <w:rFonts w:ascii="Arial" w:hAnsi="Arial" w:cs="Arial"/>
          <w:sz w:val="24"/>
          <w:szCs w:val="24"/>
        </w:rPr>
        <w:t xml:space="preserve">0,5 мм от расстояния, измеренного на поверхности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бахтармы.</w:t>
      </w:r>
      <w:r/>
    </w:p>
    <w:p>
      <w:pPr>
        <w:ind w:firstLine="709"/>
        <w:jc w:val="center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43456" cy="1767718"/>
                <wp:effectExtent l="0" t="0" r="0" b="4445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802288" cy="1827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37.3pt;height:139.2pt;mso-wrap-distance-left:0.0pt;mso-wrap-distance-top:0.0pt;mso-wrap-distance-right:0.0pt;mso-wrap-distance-bottom:0.0pt;" stroked="f">
                <v:path textboxrect="0,0,0,0"/>
                <v:imagedata r:id="rId24" o:title=""/>
              </v:shape>
            </w:pict>
          </mc:Fallback>
        </mc:AlternateContent>
      </w:r>
      <w:r/>
    </w:p>
    <w:p>
      <w:pPr>
        <w:ind w:firstLine="709"/>
        <w:jc w:val="center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Рисунок 1 – Измерение расстояний на испытуемых пробах квадратной формы</w:t>
      </w:r>
      <w:r/>
    </w:p>
    <w:p>
      <w:pPr>
        <w:ind w:firstLine="709"/>
        <w:jc w:val="center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</w:t>
      </w:r>
      <w:r>
        <w:rPr>
          <w:rFonts w:ascii="Arial" w:hAnsi="Arial" w:cs="Arial"/>
          <w:b/>
          <w:sz w:val="24"/>
          <w:szCs w:val="24"/>
        </w:rPr>
        <w:t xml:space="preserve">.</w:t>
      </w:r>
      <w:r>
        <w:rPr>
          <w:rFonts w:ascii="Arial" w:hAnsi="Arial" w:cs="Arial"/>
          <w:b/>
          <w:sz w:val="24"/>
          <w:szCs w:val="24"/>
        </w:rPr>
        <w:t xml:space="preserve">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Измерение массы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Измеряют массу испытуемой пробы, </w:t>
      </w:r>
      <w:r>
        <w:rPr>
          <w:rFonts w:ascii="Arial" w:hAnsi="Arial" w:cs="Arial"/>
          <w:i/>
          <w:iCs/>
          <w:sz w:val="24"/>
          <w:szCs w:val="24"/>
        </w:rPr>
        <w:t xml:space="preserve">m</w:t>
      </w:r>
      <w:r>
        <w:rPr>
          <w:rFonts w:ascii="Arial" w:hAnsi="Arial" w:cs="Arial"/>
          <w:sz w:val="24"/>
          <w:szCs w:val="24"/>
        </w:rPr>
        <w:t xml:space="preserve">, в граммах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до ближайш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0,001 г.</w:t>
      </w:r>
      <w:r>
        <w:rPr>
          <w:rFonts w:ascii="Arial" w:hAnsi="Arial" w:cs="Arial"/>
          <w:sz w:val="24"/>
          <w:szCs w:val="24"/>
        </w:rPr>
        <w:t xml:space="preserve"> 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8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Выражение результатов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 </w:t>
      </w:r>
      <w:r>
        <w:rPr>
          <w:rFonts w:ascii="Arial" w:hAnsi="Arial" w:cs="Arial"/>
          <w:b/>
          <w:sz w:val="24"/>
          <w:szCs w:val="24"/>
        </w:rPr>
        <w:t xml:space="preserve">Кажущаяся плотность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Кажущуюся плотность испытуемых проб цилиндрической формы,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rPr/>
              <m:t>D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rPr/>
              <m:t>a</m:t>
            </m:r>
          </m:sub>
        </m:sSub>
      </m:oMath>
      <w:r>
        <w:rPr>
          <w:rFonts w:ascii="Arial" w:hAnsi="Arial" w:cs="Arial"/>
          <w:bCs/>
          <w:sz w:val="24"/>
          <w:szCs w:val="24"/>
        </w:rPr>
        <w:t xml:space="preserve">, в килограммах на кубический метр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рассчитывают по формуле (1):</w:t>
      </w:r>
      <w:r/>
    </w:p>
    <w:tbl>
      <w:tblPr>
        <w:tblStyle w:val="111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>
        <w:trPr/>
        <w:tc>
          <w:tcPr>
            <w:tcW w:w="3209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</w:r>
            <w:r/>
          </w:p>
        </w:tc>
        <w:tc>
          <w:tcPr>
            <w:tcW w:w="3209" w:type="dxa"/>
            <w:textDirection w:val="lrTb"/>
            <w:noWrap w:val="false"/>
          </w:tcPr>
          <w:p>
            <w:pPr>
              <w:ind w:firstLine="709"/>
              <w:jc w:val="both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/>
            <m:oMath>
              <m:sSub>
                <m:sSubPr>
                  <m:ctrlPr>
                    <w:rPr>
                      <w:rFonts w:ascii="Cambria Math" w:hAnsi="Cambria Math" w:eastAsia="Cambria Math" w:cs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a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1,273×</m:t>
                  </m:r>
                  <m:sSup>
                    <m:sSupPr>
                      <m:ctrlPr>
                        <w:rPr>
                          <w:rFonts w:ascii="Cambria Math" w:hAnsi="Cambria Math" w:eastAsia="Cambria Math" w:cs="Cambria Math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rPr/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rPr/>
                        <m:t>6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×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rPr/>
                    <m:t>m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t×</m:t>
                  </m:r>
                  <m:sSup>
                    <m:sSupPr>
                      <m:ctrlPr>
                        <w:rPr>
                          <w:rFonts w:ascii="Cambria Math" w:hAnsi="Cambria Math" w:eastAsia="Cambria Math" w:cs="Cambria Math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rPr/>
                        <m:t>d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rPr/>
                        <m:t>2</m:t>
                      </m:r>
                    </m:sup>
                  </m:sSup>
                </m:den>
              </m:f>
            </m:oMath>
            <w:r>
              <w:rPr>
                <w:sz w:val="24"/>
                <w:szCs w:val="24"/>
              </w:rPr>
              <w:t xml:space="preserve">,</w:t>
            </w:r>
            <w:r/>
          </w:p>
        </w:tc>
        <w:tc>
          <w:tcPr>
            <w:tcW w:w="3209" w:type="dxa"/>
            <w:textDirection w:val="lrTb"/>
            <w:noWrap w:val="false"/>
          </w:tcPr>
          <w:p>
            <w:pPr>
              <w:jc w:val="right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(1)</w:t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где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/>
      <m:oMath>
        <m:r>
          <w:rPr>
            <w:rFonts w:ascii="Cambria Math" w:hAnsi="Cambria Math" w:cs="Arial"/>
            <w:sz w:val="24"/>
            <w:szCs w:val="24"/>
          </w:rPr>
          <m:rPr/>
          <m:t>t</m:t>
        </m:r>
      </m:oMath>
      <w:r>
        <w:rPr>
          <w:rFonts w:ascii="Arial" w:hAnsi="Arial" w:cs="Arial"/>
          <w:bCs/>
          <w:sz w:val="24"/>
          <w:szCs w:val="24"/>
        </w:rPr>
        <w:t xml:space="preserve"> – средняя толщина </w:t>
      </w:r>
      <w:r>
        <w:rPr>
          <w:rFonts w:ascii="Arial" w:hAnsi="Arial" w:cs="Arial"/>
          <w:bCs/>
          <w:sz w:val="24"/>
          <w:szCs w:val="24"/>
        </w:rPr>
        <w:t xml:space="preserve">испытуемой пробы в миллиметрах (</w:t>
      </w:r>
      <w:r>
        <w:rPr>
          <w:rFonts w:ascii="Arial" w:hAnsi="Arial" w:cs="Arial"/>
          <w:bCs/>
          <w:sz w:val="24"/>
          <w:szCs w:val="24"/>
        </w:rPr>
        <w:t xml:space="preserve">как получено</w:t>
      </w:r>
      <w:r>
        <w:rPr>
          <w:rFonts w:ascii="Arial" w:hAnsi="Arial" w:cs="Arial"/>
          <w:bCs/>
          <w:sz w:val="24"/>
          <w:szCs w:val="24"/>
        </w:rPr>
        <w:t xml:space="preserve"> в 7.2);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/>
      <m:oMath>
        <m:r>
          <w:rPr>
            <w:rFonts w:ascii="Cambria Math" w:hAnsi="Cambria Math" w:cs="Arial"/>
            <w:sz w:val="24"/>
            <w:szCs w:val="24"/>
          </w:rPr>
          <m:rPr/>
          <m:t>d</m:t>
        </m:r>
      </m:oMath>
      <w:r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средний диаметр испытуемой пробы в миллиметрах (</w:t>
      </w:r>
      <w:bookmarkStart w:id="0" w:name="_Hlk121134534"/>
      <w:r>
        <w:rPr>
          <w:rFonts w:ascii="Arial" w:hAnsi="Arial" w:cs="Arial"/>
          <w:bCs/>
          <w:sz w:val="24"/>
          <w:szCs w:val="24"/>
        </w:rPr>
        <w:t xml:space="preserve">как получено</w:t>
      </w:r>
      <w:r>
        <w:rPr>
          <w:rFonts w:ascii="Arial" w:hAnsi="Arial" w:cs="Arial"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Cs/>
          <w:sz w:val="24"/>
          <w:szCs w:val="24"/>
        </w:rPr>
        <w:t xml:space="preserve">в 7.3);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/>
      <m:oMath>
        <m:r>
          <w:rPr>
            <w:rFonts w:ascii="Cambria Math" w:hAnsi="Cambria Math" w:cs="Arial"/>
            <w:sz w:val="24"/>
            <w:szCs w:val="24"/>
            <w:lang w:val="en-US"/>
          </w:rPr>
          <m:rPr/>
          <m:t>m</m:t>
        </m:r>
      </m:oMath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масса испытуемой пробы в граммах (</w:t>
      </w:r>
      <w:r>
        <w:rPr>
          <w:rFonts w:ascii="Arial" w:hAnsi="Arial" w:cs="Arial"/>
          <w:bCs/>
          <w:sz w:val="24"/>
          <w:szCs w:val="24"/>
        </w:rPr>
        <w:t xml:space="preserve">как получено</w:t>
      </w:r>
      <w:r>
        <w:rPr>
          <w:rFonts w:ascii="Arial" w:hAnsi="Arial" w:cs="Arial"/>
          <w:bCs/>
          <w:sz w:val="24"/>
          <w:szCs w:val="24"/>
        </w:rPr>
        <w:t xml:space="preserve"> в 7.4).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pacing w:val="20"/>
        </w:rPr>
        <w:t xml:space="preserve">Примечание </w:t>
      </w:r>
      <w:r>
        <w:rPr>
          <w:rFonts w:ascii="Arial" w:hAnsi="Arial" w:cs="Arial"/>
          <w:color w:val="000000" w:themeColor="text1"/>
          <w:spacing w:val="20"/>
        </w:rPr>
        <w:t xml:space="preserve">1</w:t>
      </w:r>
      <w:r>
        <w:rPr>
          <w:rFonts w:ascii="Arial" w:hAnsi="Arial" w:cs="Arial"/>
          <w:color w:val="000000" w:themeColor="text1"/>
          <w:spacing w:val="20"/>
        </w:rPr>
        <w:t xml:space="preserve"> </w:t>
      </w:r>
      <w:r>
        <w:rPr>
          <w:rFonts w:ascii="Arial" w:hAnsi="Arial" w:cs="Arial"/>
          <w:color w:val="000000" w:themeColor="text1"/>
        </w:rPr>
        <w:t xml:space="preserve">–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Формула (1) предполагает, что образец представляет собой круглый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цилиндр, объем которого,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V</w:t>
      </w:r>
      <w:r>
        <w:rPr>
          <w:rFonts w:ascii="Arial" w:hAnsi="Arial" w:cs="Arial"/>
        </w:rPr>
        <w:t xml:space="preserve">, в кубических миллиметрах задан:</w:t>
      </w:r>
      <w:r/>
    </w:p>
    <w:tbl>
      <w:tblPr>
        <w:tblStyle w:val="1112"/>
        <w:tblW w:w="0" w:type="auto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260"/>
        <w:gridCol w:w="3958"/>
      </w:tblGrid>
      <w:tr>
        <w:trPr>
          <w:trHeight w:val="606"/>
        </w:trPr>
        <w:tc>
          <w:tcPr>
            <w:tcW w:w="1700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lang w:val="en-US"/>
              </w:rPr>
            </w:pPr>
            <w:r/>
            <m:oMathPara>
              <m:oMathParaPr/>
              <m:oMath>
                <m:r>
                  <w:rPr>
                    <w:rFonts w:ascii="Cambria Math" w:hAnsi="Cambria Math" w:cs="Arial"/>
                  </w:rPr>
                  <m:rPr/>
                  <m:t>V=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rPr/>
                      <m:t>π×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rPr/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rPr/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</w:rPr>
                      <m:rPr/>
                      <m:t>×t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rPr/>
                      <m:t>4</m:t>
                    </m:r>
                  </m:den>
                </m:f>
                <m:r>
                  <w:rPr>
                    <w:rFonts w:hint="default" w:ascii="Cambria Math" w:hAnsi="Cambria Math" w:eastAsia="Cambria Math" w:cs="Cambria Math"/>
                  </w:rPr>
                  <m:rPr>
                    <m:sty m:val="i"/>
                  </m:rPr>
                  <m:t>,</m:t>
                </m:r>
              </m:oMath>
            </m:oMathPara>
            <w:r/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что в упрощенном виде</w:t>
            </w:r>
            <w:r/>
          </w:p>
        </w:tc>
        <w:tc>
          <w:tcPr>
            <w:tcW w:w="395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</w:rPr>
            </w:pPr>
            <w:r/>
            <m:oMath>
              <m:f>
                <m:fPr>
                  <m:ctrlPr>
                    <w:rPr>
                      <w:rFonts w:ascii="Cambria Math" w:hAnsi="Cambria Math" w:eastAsia="Cambria Math" w:cs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mbria Math" w:cs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rPr/>
                        <m:t>d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×t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1,2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73 </m:t>
                  </m:r>
                </m:den>
              </m:f>
            </m:oMath>
            <w:r>
              <w:rPr>
                <w:rFonts w:hint="default" w:ascii="Cambria Math" w:hAnsi="Cambria Math" w:eastAsia="Cambria Math" w:cs="Cambria Math"/>
              </w:rPr>
              <w:t xml:space="preserve">,</w:t>
            </w:r>
            <w:r/>
          </w:p>
        </w:tc>
      </w:tr>
    </w:tbl>
    <w:p>
      <w:pPr>
        <w:ind w:left="709"/>
        <w:jc w:val="bot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Значение 1,273 </w:t>
      </w:r>
      <w:bookmarkStart w:id="1" w:name="_Hlk117523532"/>
      <w:r>
        <w:rPr>
          <w:rFonts w:ascii="Arial" w:hAnsi="Arial" w:cs="Arial"/>
          <w:sz w:val="24"/>
          <w:szCs w:val="24"/>
        </w:rPr>
        <w:t xml:space="preserve">–</w:t>
      </w:r>
      <w:bookmarkEnd w:id="1"/>
      <w:r>
        <w:rPr>
          <w:rFonts w:ascii="Arial" w:hAnsi="Arial" w:cs="Arial"/>
          <w:sz w:val="24"/>
          <w:szCs w:val="24"/>
        </w:rPr>
        <w:t xml:space="preserve"> величина постоянная.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Кажущуюся плотность испытуемых проб формы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прямого параллелепипеда с квадратным основанием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rPr/>
              <m:t>D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rPr/>
              <m:t>a</m:t>
            </m:r>
          </m:sub>
        </m:sSub>
      </m:oMath>
      <w:r>
        <w:rPr>
          <w:rFonts w:ascii="Arial" w:hAnsi="Arial" w:cs="Arial"/>
          <w:color w:val="000000" w:themeColor="text1"/>
          <w:sz w:val="24"/>
          <w:szCs w:val="24"/>
        </w:rPr>
        <w:t xml:space="preserve">, в килограммах на кубический метр рассчитывают по формуле (2):</w:t>
      </w:r>
      <w:r>
        <w:rPr>
          <w:color w:val="000000" w:themeColor="text1"/>
        </w:rPr>
      </w:r>
    </w:p>
    <w:tbl>
      <w:tblPr>
        <w:tblStyle w:val="1112"/>
        <w:tblW w:w="0" w:type="auto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39"/>
        <w:gridCol w:w="2931"/>
        <w:gridCol w:w="2958"/>
      </w:tblGrid>
      <w:tr>
        <w:trPr/>
        <w:tc>
          <w:tcPr>
            <w:tcW w:w="3209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/>
            <w:bookmarkStart w:id="2" w:name="_Hlk121144626"/>
            <w:r/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a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rPr/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rPr/>
                        <m:t>6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×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m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t×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a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×b</m:t>
                  </m:r>
                </m:den>
              </m:f>
            </m:oMath>
            <w:r/>
            <w:bookmarkEnd w:id="2"/>
            <w:r/>
            <w:bookmarkStart w:id="4" w:name="_Hlk117523555"/>
            <w:r/>
            <w:bookmarkEnd w:id="4"/>
            <w:r/>
            <w:bookmarkStart w:id="3" w:name="_Hlk117523627"/>
            <w:r/>
            <w:bookmarkEnd w:id="3"/>
            <w:r>
              <w:t xml:space="preserve"> .</w:t>
            </w:r>
            <w:r/>
          </w:p>
        </w:tc>
        <w:tc>
          <w:tcPr>
            <w:tcW w:w="3209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</w:r>
            <w:r/>
          </w:p>
        </w:tc>
        <w:tc>
          <w:tcPr>
            <w:tcW w:w="3209" w:type="dxa"/>
            <w:textDirection w:val="lrTb"/>
            <w:noWrap w:val="false"/>
          </w:tcPr>
          <w:p>
            <w:pPr>
              <w:jc w:val="right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(2)</w:t>
            </w:r>
            <w:r/>
          </w:p>
        </w:tc>
      </w:tr>
    </w:tbl>
    <w:p>
      <w:pPr>
        <w:ind w:left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</w:t>
      </w:r>
      <w:r>
        <w:rPr>
          <w:rFonts w:ascii="Arial" w:hAnsi="Arial" w:cs="Arial"/>
          <w:bCs/>
          <w:sz w:val="24"/>
          <w:szCs w:val="24"/>
        </w:rPr>
        <w:t xml:space="preserve">де</w:t>
      </w:r>
      <w:r>
        <w:rPr>
          <w:rFonts w:ascii="Arial" w:hAnsi="Arial" w:cs="Arial"/>
          <w:bCs/>
          <w:sz w:val="24"/>
          <w:szCs w:val="24"/>
        </w:rPr>
        <w:t xml:space="preserve"> 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/>
      <m:oMath>
        <m:r>
          <w:rPr>
            <w:rFonts w:ascii="Cambria Math" w:hAnsi="Cambria Math" w:cs="Arial"/>
            <w:sz w:val="24"/>
            <w:szCs w:val="24"/>
          </w:rPr>
          <m:rPr/>
          <m:t>t</m:t>
        </m:r>
      </m:oMath>
      <w:r>
        <w:rPr>
          <w:rFonts w:ascii="Arial" w:hAnsi="Arial" w:cs="Arial"/>
          <w:bCs/>
          <w:sz w:val="24"/>
          <w:szCs w:val="24"/>
        </w:rPr>
        <w:t xml:space="preserve"> </w:t>
      </w:r>
      <w:bookmarkStart w:id="5" w:name="_Hlk117523568"/>
      <w:r>
        <w:rPr>
          <w:rFonts w:ascii="Arial" w:hAnsi="Arial" w:cs="Arial"/>
          <w:sz w:val="24"/>
          <w:szCs w:val="24"/>
        </w:rPr>
        <w:t xml:space="preserve">–</w:t>
      </w:r>
      <w:bookmarkEnd w:id="5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средняя толщина испытуемой пробы в миллиметрах (</w:t>
      </w:r>
      <w:r>
        <w:rPr>
          <w:rFonts w:ascii="Arial" w:hAnsi="Arial" w:cs="Arial"/>
          <w:bCs/>
          <w:sz w:val="24"/>
          <w:szCs w:val="24"/>
        </w:rPr>
        <w:t xml:space="preserve">как получено</w:t>
      </w:r>
      <w:r>
        <w:rPr>
          <w:rFonts w:ascii="Arial" w:hAnsi="Arial" w:cs="Arial"/>
          <w:bCs/>
          <w:sz w:val="24"/>
          <w:szCs w:val="24"/>
        </w:rPr>
        <w:t xml:space="preserve"> в 7.2);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/>
      <m:oMath>
        <m:r>
          <w:rPr>
            <w:rFonts w:ascii="Cambria Math" w:hAnsi="Cambria Math" w:cs="Arial"/>
            <w:sz w:val="24"/>
            <w:szCs w:val="24"/>
          </w:rPr>
          <m:rPr/>
          <m:t>a</m:t>
        </m:r>
      </m:oMath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среднее расстояние AC на испытуемой пробе в миллиметрах (</w:t>
      </w:r>
      <w:r>
        <w:rPr>
          <w:rFonts w:ascii="Arial" w:hAnsi="Arial" w:cs="Arial"/>
          <w:sz w:val="24"/>
          <w:szCs w:val="24"/>
        </w:rPr>
        <w:t xml:space="preserve">как получено</w:t>
      </w:r>
      <w:r>
        <w:rPr>
          <w:rFonts w:ascii="Arial" w:hAnsi="Arial" w:cs="Arial"/>
          <w:sz w:val="24"/>
          <w:szCs w:val="24"/>
        </w:rPr>
        <w:t xml:space="preserve"> в 7.3);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/>
      <m:oMath>
        <m:r>
          <w:rPr>
            <w:rFonts w:ascii="Cambria Math" w:hAnsi="Cambria Math" w:cs="Arial"/>
            <w:sz w:val="24"/>
            <w:szCs w:val="24"/>
          </w:rPr>
          <m:rPr/>
          <m:t>b </m:t>
        </m:r>
      </m:oMath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среднее расстояние BD на испытуемой пробе в миллиметрах (</w:t>
      </w:r>
      <w:r>
        <w:rPr>
          <w:rFonts w:ascii="Arial" w:hAnsi="Arial" w:cs="Arial"/>
          <w:sz w:val="24"/>
          <w:szCs w:val="24"/>
        </w:rPr>
        <w:t xml:space="preserve">как получено</w:t>
      </w:r>
      <w:r>
        <w:rPr>
          <w:rFonts w:ascii="Arial" w:hAnsi="Arial" w:cs="Arial"/>
          <w:sz w:val="24"/>
          <w:szCs w:val="24"/>
        </w:rPr>
        <w:t xml:space="preserve"> в 7.3);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/>
      <m:oMath>
        <m:r>
          <w:rPr>
            <w:rFonts w:ascii="Cambria Math" w:hAnsi="Cambria Math" w:cs="Arial"/>
            <w:sz w:val="24"/>
            <w:szCs w:val="24"/>
          </w:rPr>
          <m:rPr/>
          <m:t>m </m:t>
        </m:r>
      </m:oMath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масса испытуемой пробы в граммах (</w:t>
      </w:r>
      <w:r>
        <w:rPr>
          <w:rFonts w:ascii="Arial" w:hAnsi="Arial" w:cs="Arial"/>
          <w:sz w:val="24"/>
          <w:szCs w:val="24"/>
        </w:rPr>
        <w:t xml:space="preserve">как получено</w:t>
      </w:r>
      <w:r>
        <w:rPr>
          <w:rFonts w:ascii="Arial" w:hAnsi="Arial" w:cs="Arial"/>
          <w:sz w:val="24"/>
          <w:szCs w:val="24"/>
        </w:rPr>
        <w:t xml:space="preserve"> в 7.4).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pacing w:val="20"/>
        </w:rPr>
        <w:t xml:space="preserve">Примечание </w:t>
      </w:r>
      <w:r>
        <w:rPr>
          <w:rFonts w:ascii="Arial" w:hAnsi="Arial" w:cs="Arial"/>
          <w:color w:val="000000" w:themeColor="text1"/>
          <w:spacing w:val="20"/>
        </w:rPr>
        <w:t xml:space="preserve">2 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Кажущуюся плотность кожи часто выражают в г/см</w:t>
      </w:r>
      <w:r>
        <w:rPr>
          <w:rFonts w:ascii="Arial" w:hAnsi="Arial" w:cs="Arial"/>
          <w:vertAlign w:val="superscript"/>
        </w:rPr>
        <w:t xml:space="preserve">3</w:t>
      </w:r>
      <w:r>
        <w:rPr>
          <w:rFonts w:ascii="Arial" w:hAnsi="Arial" w:cs="Arial"/>
        </w:rPr>
        <w:t xml:space="preserve">. Если необходимо выразить ее в этих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единицах, то 1 г/см</w:t>
      </w:r>
      <w:r>
        <w:rPr>
          <w:rFonts w:ascii="Arial" w:hAnsi="Arial" w:cs="Arial"/>
          <w:vertAlign w:val="superscript"/>
        </w:rPr>
        <w:t xml:space="preserve">3</w:t>
      </w:r>
      <w:r>
        <w:rPr>
          <w:rFonts w:ascii="Arial" w:hAnsi="Arial" w:cs="Arial"/>
        </w:rPr>
        <w:t xml:space="preserve"> = 1 000 кг/м</w:t>
      </w:r>
      <w:r>
        <w:rPr>
          <w:rFonts w:ascii="Arial" w:hAnsi="Arial" w:cs="Arial"/>
          <w:vertAlign w:val="superscript"/>
        </w:rPr>
        <w:t xml:space="preserve">3</w:t>
      </w:r>
      <w:r>
        <w:rPr>
          <w:rFonts w:ascii="Arial" w:hAnsi="Arial" w:cs="Arial"/>
        </w:rPr>
        <w:t xml:space="preserve">.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</w:t>
      </w:r>
      <w:r>
        <w:rPr>
          <w:rFonts w:ascii="Arial" w:hAnsi="Arial" w:cs="Arial"/>
          <w:b/>
          <w:sz w:val="24"/>
          <w:szCs w:val="24"/>
        </w:rPr>
        <w:t xml:space="preserve">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Масса на единицу площади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Массу на единицу площади испытуемых проб цилиндрической формы,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rPr/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rPr/>
              <m:t>a </m:t>
            </m:r>
          </m:sub>
        </m:sSub>
      </m:oMath>
      <w:r>
        <w:rPr>
          <w:rFonts w:ascii="Arial" w:hAnsi="Arial" w:cs="Arial"/>
          <w:bCs/>
          <w:sz w:val="24"/>
          <w:szCs w:val="24"/>
        </w:rPr>
        <w:t xml:space="preserve">, в граммах на квадратный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метр рассчитывают по формуле (3):</w:t>
      </w:r>
      <w:r/>
    </w:p>
    <w:tbl>
      <w:tblPr>
        <w:tblStyle w:val="1112"/>
        <w:tblW w:w="0" w:type="auto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05"/>
        <w:gridCol w:w="2896"/>
        <w:gridCol w:w="2927"/>
      </w:tblGrid>
      <w:tr>
        <w:trPr/>
        <w:tc>
          <w:tcPr>
            <w:tcW w:w="3209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/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rPr/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a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1,273×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rPr/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rPr/>
                        <m:t>6 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×m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rPr/>
                        <m:t>d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rPr/>
                        <m:t>2</m:t>
                      </m:r>
                    </m:sup>
                  </m:sSup>
                </m:den>
              </m:f>
            </m:oMath>
            <w:r>
              <w:t xml:space="preserve">,</w:t>
            </w:r>
            <w:r/>
          </w:p>
        </w:tc>
        <w:tc>
          <w:tcPr>
            <w:tcW w:w="3209" w:type="dxa"/>
            <w:textDirection w:val="lrTb"/>
            <w:noWrap w:val="false"/>
          </w:tcPr>
          <w:p>
            <w:pPr>
              <w:jc w:val="right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</w:r>
            <w:r/>
          </w:p>
        </w:tc>
        <w:tc>
          <w:tcPr>
            <w:tcW w:w="3209" w:type="dxa"/>
            <w:textDirection w:val="lrTb"/>
            <w:noWrap w:val="false"/>
          </w:tcPr>
          <w:p>
            <w:pPr>
              <w:jc w:val="right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(3)</w:t>
            </w:r>
            <w:r/>
          </w:p>
        </w:tc>
      </w:tr>
    </w:tbl>
    <w:p>
      <w:pPr>
        <w:ind w:left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где</w:t>
      </w:r>
      <w:r>
        <w:rPr>
          <w:rFonts w:ascii="Arial" w:hAnsi="Arial" w:cs="Arial"/>
          <w:bCs/>
          <w:sz w:val="24"/>
          <w:szCs w:val="24"/>
        </w:rPr>
        <w:t xml:space="preserve"> 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/>
      <m:oMath>
        <m:r>
          <w:rPr>
            <w:rFonts w:ascii="Cambria Math" w:hAnsi="Cambria Math" w:cs="Arial"/>
            <w:sz w:val="24"/>
            <w:szCs w:val="24"/>
          </w:rPr>
          <m:rPr/>
          <m:t>d</m:t>
        </m:r>
      </m:oMath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средний диаметр испытуемой пробы в миллиметрах (</w:t>
      </w:r>
      <w:r>
        <w:rPr>
          <w:rFonts w:ascii="Arial" w:hAnsi="Arial" w:cs="Arial"/>
          <w:sz w:val="24"/>
          <w:szCs w:val="24"/>
        </w:rPr>
        <w:t xml:space="preserve">как получено </w:t>
      </w:r>
      <w:r>
        <w:rPr>
          <w:rFonts w:ascii="Arial" w:hAnsi="Arial" w:cs="Arial"/>
          <w:sz w:val="24"/>
          <w:szCs w:val="24"/>
        </w:rPr>
        <w:t xml:space="preserve">в 7.3);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/>
      <m:oMath>
        <m:r>
          <w:rPr>
            <w:rFonts w:ascii="Cambria Math" w:hAnsi="Cambria Math" w:cs="Arial"/>
            <w:sz w:val="24"/>
            <w:szCs w:val="24"/>
          </w:rPr>
          <m:rPr/>
          <m:t>m </m:t>
        </m:r>
      </m:oMath>
      <w:r>
        <w:rPr>
          <w:rFonts w:ascii="Arial" w:hAnsi="Arial" w:cs="Arial"/>
          <w:bCs/>
          <w:sz w:val="24"/>
          <w:szCs w:val="24"/>
        </w:rPr>
        <w:t xml:space="preserve"> </w:t>
      </w:r>
      <w:bookmarkStart w:id="6" w:name="_Hlk117524297"/>
      <w:r>
        <w:rPr>
          <w:rFonts w:ascii="Arial" w:hAnsi="Arial" w:cs="Arial"/>
          <w:sz w:val="24"/>
          <w:szCs w:val="24"/>
        </w:rPr>
        <w:t xml:space="preserve">–</w:t>
      </w:r>
      <w:bookmarkEnd w:id="6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масса испытуемой пробы в граммах (</w:t>
      </w:r>
      <w:r>
        <w:rPr>
          <w:rFonts w:ascii="Arial" w:hAnsi="Arial" w:cs="Arial"/>
          <w:sz w:val="24"/>
          <w:szCs w:val="24"/>
        </w:rPr>
        <w:t xml:space="preserve">как получено </w:t>
      </w:r>
      <w:r>
        <w:rPr>
          <w:rFonts w:ascii="Arial" w:hAnsi="Arial" w:cs="Arial"/>
          <w:sz w:val="24"/>
          <w:szCs w:val="24"/>
        </w:rPr>
        <w:t xml:space="preserve">в 7.4)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Массу на единицу площади испытуемых проб формы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прямого параллелепипеда с квадратным основанием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en-US"/>
              </w:rPr>
              <m:rPr/>
              <m:t>m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rPr/>
              <m:t>a </m:t>
            </m:r>
          </m:sub>
        </m:sSub>
      </m:oMath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в граммах на квадратный метр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рассчитывают по формуле (4):</w:t>
      </w:r>
      <w:r/>
    </w:p>
    <w:tbl>
      <w:tblPr>
        <w:tblStyle w:val="1112"/>
        <w:tblW w:w="0" w:type="auto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1218"/>
        <w:gridCol w:w="2892"/>
      </w:tblGrid>
      <w:tr>
        <w:trPr/>
        <w:tc>
          <w:tcPr>
            <w:tcW w:w="4818" w:type="dxa"/>
            <w:vAlign w:val="bottom"/>
            <w:textDirection w:val="lrTb"/>
            <w:noWrap w:val="false"/>
          </w:tcPr>
          <w:p>
            <w:pPr>
              <w:ind w:left="709"/>
              <w:jc w:val="center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/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rPr/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a 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rPr/>
                <m:t>= 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rPr/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rPr/>
                        <m:t>6 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×m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a×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rPr/>
                    <m:t>b</m:t>
                  </m:r>
                </m:den>
              </m:f>
            </m:oMath>
            <w:r/>
            <w:bookmarkStart w:id="7" w:name="_Hlk117524319"/>
            <w:r/>
            <w:bookmarkEnd w:id="7"/>
            <w:r>
              <w:t xml:space="preserve">.</w:t>
            </w:r>
            <w:r/>
          </w:p>
        </w:tc>
        <w:tc>
          <w:tcPr>
            <w:tcW w:w="1218" w:type="dxa"/>
            <w:vAlign w:val="bottom"/>
            <w:textDirection w:val="lrTb"/>
            <w:noWrap w:val="false"/>
          </w:tcPr>
          <w:p>
            <w:pPr>
              <w:jc w:val="right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</w:r>
            <w:r/>
          </w:p>
        </w:tc>
        <w:tc>
          <w:tcPr>
            <w:tcW w:w="2892" w:type="dxa"/>
            <w:vAlign w:val="bottom"/>
            <w:textDirection w:val="lrTb"/>
            <w:noWrap w:val="false"/>
          </w:tcPr>
          <w:p>
            <w:pPr>
              <w:jc w:val="right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(4)</w:t>
            </w:r>
            <w:r/>
          </w:p>
        </w:tc>
      </w:tr>
    </w:tbl>
    <w:p>
      <w:pPr>
        <w:ind w:left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</w:t>
      </w:r>
      <w:r>
        <w:rPr>
          <w:rFonts w:ascii="Arial" w:hAnsi="Arial" w:cs="Arial"/>
          <w:bCs/>
          <w:sz w:val="24"/>
          <w:szCs w:val="24"/>
        </w:rPr>
        <w:t xml:space="preserve">де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/>
      <m:oMath>
        <m:r>
          <w:rPr>
            <w:rFonts w:ascii="Cambria Math" w:hAnsi="Cambria Math" w:cs="Arial"/>
            <w:sz w:val="24"/>
            <w:szCs w:val="24"/>
          </w:rPr>
          <m:rPr/>
          <m:t>a</m:t>
        </m:r>
      </m:oMath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среднее расстояние АС на испытуемой пробе в миллиметрах (</w:t>
      </w:r>
      <w:r>
        <w:rPr>
          <w:rFonts w:ascii="Arial" w:hAnsi="Arial" w:cs="Arial"/>
          <w:sz w:val="24"/>
          <w:szCs w:val="24"/>
        </w:rPr>
        <w:t xml:space="preserve">как получено</w:t>
      </w:r>
      <w:r>
        <w:rPr>
          <w:rFonts w:ascii="Arial" w:hAnsi="Arial" w:cs="Arial"/>
          <w:sz w:val="24"/>
          <w:szCs w:val="24"/>
        </w:rPr>
        <w:t xml:space="preserve"> в 7.3);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/>
      <m:oMath>
        <m:r>
          <w:rPr>
            <w:rFonts w:ascii="Cambria Math" w:hAnsi="Cambria Math" w:cs="Arial"/>
            <w:sz w:val="24"/>
            <w:szCs w:val="24"/>
          </w:rPr>
          <m:rPr/>
          <m:t>b </m:t>
        </m:r>
      </m:oMath>
      <w:r>
        <w:rPr>
          <w:rFonts w:ascii="Arial" w:hAnsi="Arial" w:cs="Arial"/>
          <w:bCs/>
          <w:sz w:val="24"/>
          <w:szCs w:val="24"/>
        </w:rPr>
        <w:t xml:space="preserve"> </w:t>
      </w:r>
      <w:bookmarkStart w:id="8" w:name="_Hlk117524358"/>
      <w:r>
        <w:rPr>
          <w:rFonts w:ascii="Arial" w:hAnsi="Arial" w:cs="Arial"/>
          <w:sz w:val="24"/>
          <w:szCs w:val="24"/>
        </w:rPr>
        <w:t xml:space="preserve">–</w:t>
      </w:r>
      <w:bookmarkEnd w:id="8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среднее расстояние BD испытуемой пробы в миллиметрах (</w:t>
      </w:r>
      <w:r>
        <w:rPr>
          <w:rFonts w:ascii="Arial" w:hAnsi="Arial" w:cs="Arial"/>
          <w:sz w:val="24"/>
          <w:szCs w:val="24"/>
        </w:rPr>
        <w:t xml:space="preserve">как получено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7.3);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/>
      <m:oMath>
        <m:r>
          <w:rPr>
            <w:rFonts w:ascii="Cambria Math" w:hAnsi="Cambria Math" w:cs="Arial"/>
            <w:sz w:val="24"/>
            <w:szCs w:val="24"/>
          </w:rPr>
          <m:rPr/>
          <m:t>m</m:t>
        </m:r>
      </m:oMath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масса испытуемой пробы в граммах (</w:t>
      </w:r>
      <w:r>
        <w:rPr>
          <w:rFonts w:ascii="Arial" w:hAnsi="Arial" w:cs="Arial"/>
          <w:sz w:val="24"/>
          <w:szCs w:val="24"/>
        </w:rPr>
        <w:t xml:space="preserve">как получено</w:t>
      </w:r>
      <w:r>
        <w:rPr>
          <w:rFonts w:ascii="Arial" w:hAnsi="Arial" w:cs="Arial"/>
          <w:sz w:val="24"/>
          <w:szCs w:val="24"/>
        </w:rPr>
        <w:t xml:space="preserve"> в 7.4).</w:t>
      </w:r>
      <w:r/>
    </w:p>
    <w:p>
      <w:pPr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9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Протокол испытаний</w:t>
      </w:r>
      <w:r/>
    </w:p>
    <w:p>
      <w:pPr>
        <w:ind w:firstLine="72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Протокол испытаний</w:t>
      </w:r>
      <w:r>
        <w:rPr>
          <w:rFonts w:ascii="Arial" w:hAnsi="Arial" w:cs="Arial"/>
          <w:sz w:val="24"/>
          <w:szCs w:val="24"/>
        </w:rPr>
        <w:t xml:space="preserve"> должен включать, по меньшей мере, следующее: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ссылк</w:t>
      </w:r>
      <w:r>
        <w:rPr>
          <w:rFonts w:ascii="Arial" w:hAnsi="Arial" w:cs="Arial"/>
          <w:sz w:val="24"/>
        </w:rPr>
        <w:t xml:space="preserve">у</w:t>
      </w:r>
      <w:r>
        <w:rPr>
          <w:rFonts w:ascii="Arial" w:hAnsi="Arial" w:cs="Arial"/>
          <w:sz w:val="24"/>
        </w:rPr>
        <w:t xml:space="preserve"> на </w:t>
      </w:r>
      <w:r>
        <w:rPr>
          <w:rFonts w:ascii="Arial" w:hAnsi="Arial" w:cs="Arial"/>
          <w:sz w:val="24"/>
        </w:rPr>
        <w:t xml:space="preserve">настоящий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стандарт</w:t>
      </w:r>
      <w:r>
        <w:rPr>
          <w:rFonts w:ascii="Arial" w:hAnsi="Arial" w:cs="Arial"/>
          <w:sz w:val="24"/>
        </w:rPr>
        <w:t xml:space="preserve">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средн</w:t>
      </w:r>
      <w:r>
        <w:rPr>
          <w:rFonts w:ascii="Arial" w:hAnsi="Arial" w:cs="Arial"/>
          <w:sz w:val="24"/>
        </w:rPr>
        <w:t xml:space="preserve">юю</w:t>
      </w:r>
      <w:r>
        <w:rPr>
          <w:rFonts w:ascii="Arial" w:hAnsi="Arial" w:cs="Arial"/>
          <w:sz w:val="24"/>
        </w:rPr>
        <w:t xml:space="preserve"> кажущ</w:t>
      </w:r>
      <w:r>
        <w:rPr>
          <w:rFonts w:ascii="Arial" w:hAnsi="Arial" w:cs="Arial"/>
          <w:sz w:val="24"/>
        </w:rPr>
        <w:t xml:space="preserve">ую</w:t>
      </w:r>
      <w:r>
        <w:rPr>
          <w:rFonts w:ascii="Arial" w:hAnsi="Arial" w:cs="Arial"/>
          <w:sz w:val="24"/>
        </w:rPr>
        <w:t xml:space="preserve">ся плотность,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rPr/>
              <m:t>D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rPr/>
              <m:t>a</m:t>
            </m:r>
          </m:sub>
        </m:sSub>
      </m:oMath>
      <w:r>
        <w:rPr>
          <w:rFonts w:ascii="Arial" w:hAnsi="Arial" w:cs="Arial"/>
          <w:sz w:val="24"/>
        </w:rPr>
        <w:t xml:space="preserve">, в килограммах на кубический метр, выраженн</w:t>
      </w:r>
      <w:r>
        <w:rPr>
          <w:rFonts w:ascii="Arial" w:hAnsi="Arial" w:cs="Arial"/>
          <w:sz w:val="24"/>
        </w:rPr>
        <w:t xml:space="preserve">ую</w:t>
      </w:r>
      <w:r>
        <w:rPr>
          <w:rFonts w:ascii="Arial" w:hAnsi="Arial" w:cs="Arial"/>
          <w:sz w:val="24"/>
        </w:rPr>
        <w:t xml:space="preserve"> тремя значащими цифрами;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c) средн</w:t>
      </w:r>
      <w:r>
        <w:rPr>
          <w:rFonts w:ascii="Arial" w:hAnsi="Arial" w:cs="Arial"/>
          <w:sz w:val="24"/>
        </w:rPr>
        <w:t xml:space="preserve">юю</w:t>
      </w:r>
      <w:r>
        <w:rPr>
          <w:rFonts w:ascii="Arial" w:hAnsi="Arial" w:cs="Arial"/>
          <w:sz w:val="24"/>
        </w:rPr>
        <w:t xml:space="preserve"> масс</w:t>
      </w:r>
      <w:r>
        <w:rPr>
          <w:rFonts w:ascii="Arial" w:hAnsi="Arial" w:cs="Arial"/>
          <w:sz w:val="24"/>
        </w:rPr>
        <w:t xml:space="preserve">у</w:t>
      </w:r>
      <w:r>
        <w:rPr>
          <w:rFonts w:ascii="Arial" w:hAnsi="Arial" w:cs="Arial"/>
          <w:sz w:val="24"/>
        </w:rPr>
        <w:t xml:space="preserve"> на единицу площади,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rPr/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rPr/>
              <m:t>a </m:t>
            </m:r>
          </m:sub>
        </m:sSub>
      </m:oMath>
      <w:r>
        <w:rPr>
          <w:rFonts w:ascii="Arial" w:hAnsi="Arial" w:cs="Arial"/>
          <w:sz w:val="24"/>
        </w:rPr>
        <w:t xml:space="preserve">, в граммах на квадратный метр, выраженн</w:t>
      </w:r>
      <w:r>
        <w:rPr>
          <w:rFonts w:ascii="Arial" w:hAnsi="Arial" w:cs="Arial"/>
          <w:sz w:val="24"/>
        </w:rPr>
        <w:t xml:space="preserve">ую</w:t>
      </w:r>
      <w:r>
        <w:rPr>
          <w:rFonts w:ascii="Arial" w:hAnsi="Arial" w:cs="Arial"/>
          <w:sz w:val="24"/>
        </w:rPr>
        <w:t xml:space="preserve"> тремя значащими цифрами;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d) стандартные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атмосферные </w:t>
      </w:r>
      <w:r>
        <w:rPr>
          <w:rFonts w:ascii="Arial" w:hAnsi="Arial" w:cs="Arial"/>
          <w:color w:val="000000" w:themeColor="text1"/>
          <w:sz w:val="24"/>
        </w:rPr>
        <w:t xml:space="preserve">у</w:t>
      </w:r>
      <w:r>
        <w:rPr>
          <w:rFonts w:ascii="Arial" w:hAnsi="Arial" w:cs="Arial"/>
          <w:sz w:val="24"/>
        </w:rPr>
        <w:t xml:space="preserve">словия, используемые для кондиционирования и </w:t>
      </w:r>
      <w:r>
        <w:rPr>
          <w:rFonts w:ascii="Arial" w:hAnsi="Arial" w:cs="Arial"/>
          <w:sz w:val="24"/>
        </w:rPr>
        <w:t xml:space="preserve">проведения </w:t>
      </w:r>
      <w:r>
        <w:rPr>
          <w:rFonts w:ascii="Arial" w:hAnsi="Arial" w:cs="Arial"/>
          <w:sz w:val="24"/>
        </w:rPr>
        <w:t xml:space="preserve">испытани</w:t>
      </w:r>
      <w:r>
        <w:rPr>
          <w:rFonts w:ascii="Arial" w:hAnsi="Arial" w:cs="Arial"/>
          <w:sz w:val="24"/>
        </w:rPr>
        <w:t xml:space="preserve">я</w:t>
      </w:r>
      <w:r>
        <w:rPr>
          <w:rFonts w:ascii="Arial" w:hAnsi="Arial" w:cs="Arial"/>
          <w:sz w:val="24"/>
        </w:rPr>
        <w:t xml:space="preserve"> в соответствии с ISO 2419;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e) любые отклонения от метода, </w:t>
      </w:r>
      <w:r>
        <w:rPr>
          <w:rFonts w:ascii="Arial" w:hAnsi="Arial" w:cs="Arial"/>
          <w:sz w:val="24"/>
        </w:rPr>
        <w:t xml:space="preserve">описанного в настоящем стандарте</w:t>
      </w:r>
      <w:r>
        <w:rPr>
          <w:rFonts w:ascii="Arial" w:hAnsi="Arial" w:cs="Arial"/>
          <w:sz w:val="24"/>
        </w:rPr>
        <w:t xml:space="preserve">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f) полные данные для идентификации образца и любы</w:t>
      </w:r>
      <w:r>
        <w:rPr>
          <w:rFonts w:ascii="Arial" w:hAnsi="Arial" w:cs="Arial"/>
          <w:sz w:val="24"/>
        </w:rPr>
        <w:t xml:space="preserve">е</w:t>
      </w:r>
      <w:r>
        <w:rPr>
          <w:rFonts w:ascii="Arial" w:hAnsi="Arial" w:cs="Arial"/>
          <w:sz w:val="24"/>
        </w:rPr>
        <w:t xml:space="preserve"> отклонени</w:t>
      </w:r>
      <w:r>
        <w:rPr>
          <w:rFonts w:ascii="Arial" w:hAnsi="Arial" w:cs="Arial"/>
          <w:sz w:val="24"/>
        </w:rPr>
        <w:t xml:space="preserve">я</w:t>
      </w:r>
      <w:r>
        <w:rPr>
          <w:rFonts w:ascii="Arial" w:hAnsi="Arial" w:cs="Arial"/>
          <w:sz w:val="24"/>
        </w:rPr>
        <w:t xml:space="preserve"> от ISO 2418 в отношении отбора образцов.</w:t>
      </w:r>
      <w:r>
        <w:rPr>
          <w:rFonts w:ascii="Arial" w:hAnsi="Arial" w:cs="Arial"/>
          <w:sz w:val="24"/>
        </w:rPr>
      </w:r>
      <w:r/>
    </w:p>
    <w:p>
      <w:pPr>
        <w:pStyle w:val="1076"/>
        <w:jc w:val="center"/>
        <w:spacing w:after="120" w:line="360" w:lineRule="auto"/>
        <w:rPr>
          <w:sz w:val="22"/>
          <w:szCs w:val="22"/>
        </w:rPr>
      </w:pPr>
      <w:r>
        <w:rPr>
          <w:sz w:val="28"/>
          <w:szCs w:val="24"/>
        </w:rPr>
        <w:br w:type="page" w:clear="all"/>
      </w:r>
      <w:r>
        <w:rPr>
          <w:b/>
          <w:sz w:val="28"/>
          <w:szCs w:val="28"/>
        </w:rPr>
        <w:t xml:space="preserve">Приложение ДА</w:t>
      </w:r>
      <w:r/>
    </w:p>
    <w:p>
      <w:pPr>
        <w:pStyle w:val="1076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/>
    </w:p>
    <w:p>
      <w:pPr>
        <w:pStyle w:val="1076"/>
        <w:jc w:val="center"/>
        <w:spacing w:line="360" w:lineRule="auto"/>
        <w:rPr>
          <w:b/>
        </w:rPr>
      </w:pPr>
      <w:r>
        <w:rPr>
          <w:b/>
        </w:rPr>
      </w:r>
      <w:r/>
    </w:p>
    <w:p>
      <w:pPr>
        <w:pStyle w:val="1077"/>
        <w:jc w:val="center"/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Сведения о соответствии ссылочных международных стандартов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77"/>
        <w:jc w:val="center"/>
        <w:spacing w:line="360" w:lineRule="auto"/>
        <w:rPr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 xml:space="preserve">ссылочным межгосударственным стандартам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77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  <w:r/>
    </w:p>
    <w:p>
      <w:pPr>
        <w:pStyle w:val="1076"/>
        <w:jc w:val="both"/>
        <w:spacing w:line="480" w:lineRule="auto"/>
      </w:pPr>
      <w:r>
        <w:rPr>
          <w:sz w:val="22"/>
          <w:szCs w:val="22"/>
        </w:rPr>
        <w:t xml:space="preserve">Т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б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л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ц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ДА.1</w:t>
      </w:r>
      <w:r/>
    </w:p>
    <w:tbl>
      <w:tblPr>
        <w:tblW w:w="0" w:type="auto"/>
        <w:tblInd w:w="-263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5259"/>
      </w:tblGrid>
      <w:tr>
        <w:trPr>
          <w:trHeight w:val="3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pStyle w:val="10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</w:t>
            </w:r>
            <w:r>
              <w:rPr>
                <w:sz w:val="24"/>
                <w:szCs w:val="24"/>
              </w:rPr>
              <w:t xml:space="preserve">ссылочного </w:t>
            </w:r>
            <w:r>
              <w:rPr>
                <w:sz w:val="24"/>
                <w:szCs w:val="24"/>
              </w:rPr>
              <w:t xml:space="preserve">международного стандарта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соответствия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pStyle w:val="10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и наименование соответствующего межгосударственного стандарта</w:t>
            </w:r>
            <w:r/>
          </w:p>
        </w:tc>
      </w:tr>
      <w:tr>
        <w:trPr>
          <w:trHeight w:val="19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10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ISO 2418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</w:t>
            </w:r>
            <w:r/>
          </w:p>
        </w:tc>
      </w:tr>
      <w:tr>
        <w:trPr>
          <w:trHeight w:val="19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10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ISO </w:t>
            </w:r>
            <w:r>
              <w:rPr>
                <w:sz w:val="24"/>
                <w:szCs w:val="24"/>
                <w:lang w:val="en-US"/>
              </w:rPr>
              <w:t xml:space="preserve">2419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IDT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ISO </w:t>
            </w:r>
            <w:r>
              <w:rPr>
                <w:rFonts w:ascii="Arial" w:hAnsi="Arial" w:cs="Arial"/>
                <w:sz w:val="24"/>
                <w:szCs w:val="24"/>
              </w:rPr>
              <w:t xml:space="preserve">2419-2013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«</w:t>
            </w:r>
            <w:r>
              <w:rPr>
                <w:rFonts w:ascii="Arial" w:hAnsi="Arial" w:cs="Arial"/>
                <w:sz w:val="24"/>
                <w:szCs w:val="24"/>
              </w:rPr>
              <w:t xml:space="preserve">Кожа. Физические и механические испытания. Подготовка и кондиционирование проб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r/>
          </w:p>
        </w:tc>
      </w:tr>
      <w:tr>
        <w:trPr>
          <w:trHeight w:val="25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10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ISO </w:t>
            </w:r>
            <w:r>
              <w:rPr>
                <w:sz w:val="24"/>
                <w:szCs w:val="24"/>
                <w:lang w:val="en-US"/>
              </w:rPr>
              <w:t xml:space="preserve">2589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IDT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</w:t>
            </w:r>
            <w:r>
              <w:rPr>
                <w:rFonts w:ascii="Arial" w:hAnsi="Arial" w:cs="Arial"/>
                <w:sz w:val="24"/>
                <w:szCs w:val="24"/>
              </w:rPr>
              <w:t xml:space="preserve">ISO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2589-202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 xml:space="preserve">Кожа.Физические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и механические испытания. Метод определения толщины» </w:t>
            </w:r>
            <w:r/>
          </w:p>
        </w:tc>
      </w:tr>
      <w:tr>
        <w:trPr>
          <w:trHeight w:val="25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10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EN 15987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</w:t>
            </w:r>
            <w:r/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8" w:type="dxa"/>
            <w:textDirection w:val="lrTb"/>
            <w:noWrap w:val="false"/>
          </w:tcPr>
          <w:p>
            <w:pPr>
              <w:ind w:firstLine="694"/>
              <w:jc w:val="both"/>
              <w:spacing w:after="0" w:line="240" w:lineRule="auto"/>
              <w:widowControl w:val="off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* Соо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тветствующий межгосударственный стандарт отсутствует. До его принятия рекомендуется использовать перевод на русский язык международного стандарта. Официальный перевод данного международного стандарта находится в Федеральном информационном фонде стандартов.</w:t>
            </w:r>
            <w:r/>
          </w:p>
          <w:p>
            <w:pPr>
              <w:pStyle w:val="1076"/>
              <w:ind w:firstLine="6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 р и м е ч а н и 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— В настоящей таблице использован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 следующ</w:t>
            </w:r>
            <w:r>
              <w:rPr>
                <w:sz w:val="22"/>
                <w:szCs w:val="22"/>
              </w:rPr>
              <w:t xml:space="preserve">ее</w:t>
            </w:r>
            <w:r>
              <w:rPr>
                <w:sz w:val="22"/>
                <w:szCs w:val="22"/>
              </w:rPr>
              <w:t xml:space="preserve"> условн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е обозначени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 xml:space="preserve">степени соответствия стандарт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: </w:t>
            </w:r>
            <w:r/>
          </w:p>
          <w:p>
            <w:pPr>
              <w:pStyle w:val="1076"/>
              <w:ind w:firstLine="694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IDT – идентичны</w:t>
            </w:r>
            <w:r>
              <w:rPr>
                <w:sz w:val="22"/>
                <w:szCs w:val="22"/>
              </w:rPr>
              <w:t xml:space="preserve">е стандарты.</w:t>
            </w:r>
            <w:r/>
          </w:p>
        </w:tc>
      </w:tr>
    </w:tbl>
    <w:p>
      <w:pPr>
        <w:pStyle w:val="1077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077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77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77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77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77"/>
        <w:ind w:left="720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/>
    </w:p>
    <w:p>
      <w:pPr>
        <w:pStyle w:val="1077"/>
        <w:ind w:left="720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tbl>
      <w:tblPr>
        <w:tblW w:w="0" w:type="auto"/>
        <w:tblInd w:w="28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4110"/>
        <w:gridCol w:w="2445"/>
        <w:gridCol w:w="3084"/>
      </w:tblGrid>
      <w:tr>
        <w:trPr/>
        <w:tc>
          <w:tcPr>
            <w:shd w:val="clear" w:color="auto" w:fill="auto"/>
            <w:tcBorders>
              <w:top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76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УДК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67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.01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6:006.354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445" w:type="dxa"/>
            <w:textDirection w:val="lrTb"/>
            <w:noWrap w:val="false"/>
          </w:tcPr>
          <w:p>
            <w:pPr>
              <w:pStyle w:val="1076"/>
              <w:jc w:val="both"/>
            </w:pPr>
            <w:r>
              <w:rPr>
                <w:sz w:val="24"/>
                <w:szCs w:val="24"/>
              </w:rPr>
              <w:t xml:space="preserve">МКС 59.</w:t>
            </w:r>
            <w:r>
              <w:rPr>
                <w:sz w:val="24"/>
                <w:szCs w:val="24"/>
              </w:rPr>
              <w:t xml:space="preserve">140</w:t>
            </w:r>
            <w:r>
              <w:rPr>
                <w:sz w:val="24"/>
                <w:szCs w:val="24"/>
              </w:rPr>
              <w:t xml:space="preserve">.3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1076"/>
              <w:jc w:val="right"/>
            </w:pPr>
            <w:r>
              <w:rPr>
                <w:sz w:val="24"/>
                <w:szCs w:val="24"/>
              </w:rPr>
              <w:t xml:space="preserve">IDT</w:t>
            </w:r>
            <w:r/>
          </w:p>
        </w:tc>
      </w:tr>
      <w:tr>
        <w:trPr>
          <w:trHeight w:val="676"/>
        </w:trPr>
        <w:tc>
          <w:tcPr>
            <w:gridSpan w:val="3"/>
            <w:shd w:val="clear" w:color="auto" w:fill="auto"/>
            <w:tcBorders>
              <w:bottom w:val="single" w:color="000000" w:sz="6" w:space="0"/>
            </w:tcBorders>
            <w:tcW w:w="9639" w:type="dxa"/>
            <w:textDirection w:val="lrTb"/>
            <w:noWrap w:val="false"/>
          </w:tcPr>
          <w:p>
            <w:pPr>
              <w:pStyle w:val="10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6"/>
              <w:jc w:val="both"/>
            </w:pPr>
            <w:r>
              <w:rPr>
                <w:sz w:val="24"/>
                <w:szCs w:val="24"/>
              </w:rPr>
              <w:t xml:space="preserve">Ключевые слова: </w:t>
            </w:r>
            <w:r>
              <w:rPr>
                <w:sz w:val="24"/>
                <w:szCs w:val="24"/>
              </w:rPr>
              <w:t xml:space="preserve">кожа, </w:t>
            </w:r>
            <w:r>
              <w:rPr>
                <w:sz w:val="24"/>
                <w:szCs w:val="24"/>
              </w:rPr>
              <w:t xml:space="preserve">физические и механические </w:t>
            </w:r>
            <w:r>
              <w:rPr>
                <w:sz w:val="24"/>
                <w:szCs w:val="24"/>
              </w:rPr>
              <w:t xml:space="preserve">испытания, </w:t>
            </w:r>
            <w:r>
              <w:rPr>
                <w:sz w:val="24"/>
                <w:szCs w:val="24"/>
              </w:rPr>
              <w:t xml:space="preserve">кажущаяся плотность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проба, толщина, масса, измерение</w:t>
            </w:r>
            <w:r/>
          </w:p>
        </w:tc>
      </w:tr>
    </w:tbl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283" w:type="dxa"/>
        <w:tblLayout w:type="fixed"/>
        <w:tblLook w:val="0000" w:firstRow="0" w:lastRow="0" w:firstColumn="0" w:lastColumn="0" w:noHBand="0" w:noVBand="0"/>
      </w:tblPr>
      <w:tblGrid>
        <w:gridCol w:w="4786"/>
        <w:gridCol w:w="2977"/>
        <w:gridCol w:w="2520"/>
      </w:tblGrid>
      <w:tr>
        <w:trPr/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Arial" w:hAnsi="Arial" w:cs="Arial"/>
                <w:bCs/>
                <w:lang w:eastAsia="en-US"/>
              </w:rPr>
              <w:t xml:space="preserve">Заместитель г</w:t>
            </w:r>
            <w:r>
              <w:rPr>
                <w:rFonts w:ascii="Arial" w:hAnsi="Arial" w:cs="Arial"/>
                <w:bCs/>
                <w:lang w:eastAsia="en-US"/>
              </w:rPr>
              <w:t xml:space="preserve">енеральн</w:t>
            </w:r>
            <w:r>
              <w:rPr>
                <w:rFonts w:ascii="Arial" w:hAnsi="Arial" w:cs="Arial"/>
                <w:bCs/>
                <w:lang w:eastAsia="en-US"/>
              </w:rPr>
              <w:t xml:space="preserve">ого</w:t>
            </w:r>
            <w:r>
              <w:rPr>
                <w:rFonts w:ascii="Arial" w:hAnsi="Arial" w:cs="Arial"/>
                <w:bCs/>
                <w:lang w:eastAsia="en-US"/>
              </w:rPr>
              <w:t xml:space="preserve"> директор</w:t>
            </w:r>
            <w:r>
              <w:rPr>
                <w:rFonts w:ascii="Arial" w:hAnsi="Arial" w:cs="Arial"/>
                <w:bCs/>
                <w:lang w:eastAsia="en-US"/>
              </w:rPr>
              <w:t xml:space="preserve">а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bCs/>
                <w:lang w:eastAsia="en-US"/>
              </w:rPr>
              <w:t xml:space="preserve">по научной работе АО «ИНПЦ ТЛП</w:t>
            </w:r>
            <w:r>
              <w:rPr>
                <w:rFonts w:ascii="Arial" w:hAnsi="Arial" w:cs="Arial"/>
                <w:bCs/>
                <w:lang w:eastAsia="en-US"/>
              </w:rPr>
              <w:t xml:space="preserve">»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firstLine="539"/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bCs/>
                <w:lang w:eastAsia="en-US"/>
              </w:rPr>
              <w:t xml:space="preserve">Т</w:t>
            </w:r>
            <w:r>
              <w:rPr>
                <w:rFonts w:ascii="Arial" w:hAnsi="Arial" w:cs="Arial"/>
                <w:bCs/>
                <w:lang w:eastAsia="en-US"/>
              </w:rPr>
              <w:t xml:space="preserve">.</w:t>
            </w:r>
            <w:r>
              <w:rPr>
                <w:rFonts w:ascii="Arial" w:hAnsi="Arial" w:cs="Arial"/>
                <w:bCs/>
                <w:lang w:eastAsia="en-US"/>
              </w:rPr>
              <w:t xml:space="preserve">П</w:t>
            </w:r>
            <w:r>
              <w:rPr>
                <w:rFonts w:ascii="Arial" w:hAnsi="Arial" w:cs="Arial"/>
                <w:bCs/>
                <w:lang w:eastAsia="en-US"/>
              </w:rPr>
              <w:t xml:space="preserve">.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 xml:space="preserve">Назарова</w:t>
            </w:r>
            <w:r/>
          </w:p>
        </w:tc>
      </w:tr>
      <w:tr>
        <w:trPr/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jc w:val="both"/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both"/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spacing w:after="240"/>
            </w:pPr>
            <w:r>
              <w:rPr>
                <w:rFonts w:ascii="Arial" w:hAnsi="Arial" w:cs="Arial"/>
              </w:rPr>
              <w:t xml:space="preserve">Эксперт по стандартизации 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firstLine="539"/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Н.В.</w:t>
            </w:r>
            <w:r>
              <w:rPr>
                <w:rFonts w:ascii="Arial" w:hAnsi="Arial" w:cs="Arial"/>
                <w:bCs/>
                <w:lang w:eastAsia="en-US"/>
              </w:rPr>
              <w:t xml:space="preserve"> Бадьина</w:t>
            </w:r>
            <w:r/>
          </w:p>
          <w:p>
            <w:pPr>
              <w:spacing w:after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  <w:p>
            <w:pPr>
              <w:spacing w:after="0"/>
            </w:pPr>
            <w:r/>
            <w:r/>
          </w:p>
        </w:tc>
      </w:tr>
    </w:tbl>
    <w:p>
      <w:pPr>
        <w:spacing w:after="0"/>
        <w:widowControl w:val="off"/>
      </w:pPr>
      <w:r/>
      <w:r/>
    </w:p>
    <w:sectPr>
      <w:headerReference w:type="default" r:id="rId12"/>
      <w:headerReference w:type="even" r:id="rId13"/>
      <w:footerReference w:type="default" r:id="rId18"/>
      <w:footerReference w:type="even" r:id="rId19"/>
      <w:footerReference w:type="first" r:id="rId20"/>
      <w:footnotePr/>
      <w:endnotePr/>
      <w:type w:val="nextPage"/>
      <w:pgSz w:w="11906" w:h="16838" w:orient="portrait"/>
      <w:pgMar w:top="1099" w:right="851" w:bottom="1134" w:left="1418" w:header="278" w:footer="278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Verdana">
    <w:panose1 w:val="020B0604030504040204"/>
  </w:font>
  <w:font w:name="MS Mincho">
    <w:panose1 w:val="02020609040205080304"/>
  </w:font>
  <w:font w:name="Tahoma">
    <w:panose1 w:val="020B0604030504040204"/>
  </w:font>
  <w:font w:name="Cambria">
    <w:panose1 w:val="02040503050406030204"/>
  </w:font>
  <w:font w:name="Symbol">
    <w:panose1 w:val="05050102010706020507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Times New Roman">
    <w:panose1 w:val="02020603050405020304"/>
  </w:font>
  <w:font w:name="Cambria Math">
    <w:panose1 w:val="02040503050406030204"/>
  </w:font>
  <w:font w:name="Liberation Serif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iii</w:t>
    </w:r>
    <w:r>
      <w:fldChar w:fldCharType="end"/>
    </w:r>
    <w:r/>
  </w:p>
  <w:p>
    <w:pPr>
      <w:pStyle w:val="109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2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 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 xml:space="preserve">2</w:t>
    </w:r>
    <w:r>
      <w:rPr>
        <w:rFonts w:ascii="Arial" w:hAnsi="Arial" w:cs="Arial"/>
        <w:sz w:val="24"/>
        <w:szCs w:val="24"/>
      </w:rPr>
      <w:fldChar w:fldCharType="end"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2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 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 xml:space="preserve">2</w:t>
    </w:r>
    <w:r>
      <w:rPr>
        <w:rFonts w:ascii="Arial" w:hAnsi="Arial" w:cs="Arial"/>
        <w:sz w:val="24"/>
        <w:szCs w:val="24"/>
      </w:rPr>
      <w:fldChar w:fldCharType="end"/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2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 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 xml:space="preserve">iv</w:t>
    </w:r>
    <w:r>
      <w:rPr>
        <w:rFonts w:ascii="Arial" w:hAnsi="Arial" w:cs="Arial"/>
        <w:sz w:val="24"/>
        <w:szCs w:val="24"/>
      </w:rPr>
      <w:fldChar w:fldCharType="end"/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2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 xml:space="preserve">7</w:t>
    </w:r>
    <w:r>
      <w:rPr>
        <w:rFonts w:ascii="Arial" w:hAnsi="Arial" w:cs="Arial"/>
      </w:rPr>
      <w:fldChar w:fldCharType="end"/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2"/>
      <w:rPr>
        <w:rFonts w:ascii="Arial" w:hAnsi="Arial" w:cs="Arial"/>
      </w:rPr>
    </w:pPr>
    <w:r>
      <w:rPr>
        <w:rStyle w:val="1028"/>
        <w:rFonts w:ascii="Arial" w:hAnsi="Arial" w:cs="Arial"/>
      </w:rPr>
      <w:fldChar w:fldCharType="begin"/>
    </w:r>
    <w:r>
      <w:rPr>
        <w:rStyle w:val="1028"/>
        <w:rFonts w:ascii="Arial" w:hAnsi="Arial" w:cs="Arial"/>
      </w:rPr>
      <w:instrText xml:space="preserve"> PAGE </w:instrText>
    </w:r>
    <w:r>
      <w:rPr>
        <w:rStyle w:val="1028"/>
        <w:rFonts w:ascii="Arial" w:hAnsi="Arial" w:cs="Arial"/>
      </w:rPr>
      <w:fldChar w:fldCharType="separate"/>
    </w:r>
    <w:r>
      <w:rPr>
        <w:rStyle w:val="1028"/>
        <w:rFonts w:ascii="Arial" w:hAnsi="Arial" w:cs="Arial"/>
      </w:rPr>
      <w:t xml:space="preserve">8</w:t>
    </w:r>
    <w:r>
      <w:rPr>
        <w:rStyle w:val="1028"/>
        <w:rFonts w:ascii="Arial" w:hAnsi="Arial" w:cs="Arial"/>
      </w:rPr>
      <w:fldChar w:fldCharType="end"/>
    </w:r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2"/>
      <w:rPr>
        <w:rFonts w:ascii="Arial" w:hAnsi="Arial" w:cs="Arial"/>
        <w:sz w:val="24"/>
        <w:szCs w:val="24"/>
      </w:rPr>
      <w:pBdr>
        <w:top w:val="single" w:color="auto" w:sz="4" w:space="1"/>
      </w:pBdr>
    </w:pPr>
    <w:r>
      <w:rPr>
        <w:rFonts w:ascii="Arial" w:hAnsi="Arial" w:cs="Arial"/>
        <w:sz w:val="24"/>
        <w:szCs w:val="24"/>
      </w:rPr>
      <w:t xml:space="preserve">Проект, окончательная редакция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 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 xml:space="preserve">2</w:t>
    </w:r>
    <w:r>
      <w:rPr>
        <w:rFonts w:ascii="Arial" w:hAnsi="Arial" w:cs="Arial"/>
        <w:sz w:val="24"/>
        <w:szCs w:val="24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1"/>
      <w:jc w:val="right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ГОСТ ISO 404</w:t>
    </w:r>
    <w:r>
      <w:rPr>
        <w:rFonts w:ascii="Arial" w:hAnsi="Arial" w:cs="Arial"/>
        <w:sz w:val="24"/>
      </w:rPr>
      <w:t xml:space="preserve">5</w:t>
    </w:r>
    <w:r>
      <w:rPr>
        <w:rFonts w:ascii="Arial" w:hAnsi="Arial" w:cs="Arial"/>
        <w:i/>
        <w:sz w:val="24"/>
      </w:rPr>
      <w:t xml:space="preserve"> (проект, RU, </w:t>
    </w:r>
    <w:r>
      <w:rPr>
        <w:rFonts w:ascii="Arial" w:hAnsi="Arial" w:cs="Arial"/>
        <w:i/>
        <w:sz w:val="24"/>
      </w:rPr>
      <w:t xml:space="preserve">первая</w:t>
    </w:r>
    <w:r>
      <w:rPr>
        <w:rFonts w:ascii="Arial" w:hAnsi="Arial" w:cs="Arial"/>
        <w:i/>
        <w:sz w:val="24"/>
      </w:rPr>
      <w:t xml:space="preserve"> редакция)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Arial" w:hAnsi="Arial" w:cs="Arial"/>
        <w:bCs/>
        <w:i/>
        <w:i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ГОСТ </w:t>
    </w:r>
    <w:r>
      <w:rPr>
        <w:rFonts w:ascii="Arial" w:hAnsi="Arial" w:cs="Arial"/>
        <w:sz w:val="24"/>
        <w:szCs w:val="24"/>
        <w:lang w:val="en-US"/>
      </w:rPr>
      <w:t xml:space="preserve">ISO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2420</w:t>
    </w:r>
    <w:r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bCs/>
        <w:i/>
        <w:iCs/>
        <w:sz w:val="24"/>
        <w:szCs w:val="24"/>
      </w:rPr>
      <w:t xml:space="preserve">(проект, </w:t>
    </w:r>
    <w:r>
      <w:rPr>
        <w:rFonts w:ascii="Arial" w:hAnsi="Arial" w:cs="Arial"/>
        <w:bCs/>
        <w:i/>
        <w:iCs/>
        <w:sz w:val="24"/>
        <w:szCs w:val="24"/>
        <w:lang w:val="en-US"/>
      </w:rPr>
      <w:t xml:space="preserve">RU</w:t>
    </w:r>
    <w:r>
      <w:rPr>
        <w:rFonts w:ascii="Arial" w:hAnsi="Arial" w:cs="Arial"/>
        <w:bCs/>
        <w:i/>
        <w:iCs/>
        <w:sz w:val="24"/>
        <w:szCs w:val="24"/>
      </w:rPr>
      <w:t xml:space="preserve">, </w:t>
    </w:r>
    <w:r>
      <w:rPr>
        <w:rFonts w:ascii="Arial" w:hAnsi="Arial" w:cs="Arial"/>
        <w:bCs/>
        <w:i/>
        <w:iCs/>
        <w:sz w:val="24"/>
        <w:szCs w:val="24"/>
      </w:rPr>
      <w:t xml:space="preserve">окончательная редакция)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1"/>
      <w:jc w:val="right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 xml:space="preserve">2420</w:t>
    </w:r>
    <w:r>
      <w:rPr>
        <w:rFonts w:ascii="Arial" w:hAnsi="Arial" w:cs="Arial"/>
        <w:i/>
        <w:sz w:val="24"/>
      </w:rPr>
      <w:t xml:space="preserve"> (проект, RU, </w:t>
    </w:r>
    <w:r>
      <w:rPr>
        <w:rFonts w:ascii="Arial" w:hAnsi="Arial" w:cs="Arial"/>
        <w:i/>
        <w:sz w:val="24"/>
      </w:rPr>
      <w:t xml:space="preserve">окончательная редакция)</w: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1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 xml:space="preserve">2420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/>
        <w:i/>
        <w:sz w:val="24"/>
      </w:rPr>
      <w:t xml:space="preserve">(проект, RU, </w:t>
    </w:r>
    <w:r>
      <w:rPr>
        <w:rFonts w:ascii="Arial" w:hAnsi="Arial" w:cs="Arial"/>
        <w:i/>
        <w:sz w:val="24"/>
      </w:rPr>
      <w:t xml:space="preserve">окончательная редакция)</w: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1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 xml:space="preserve">2420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/>
        <w:i/>
        <w:sz w:val="24"/>
      </w:rPr>
      <w:t xml:space="preserve">(проект, RU, </w:t>
    </w:r>
    <w:r>
      <w:rPr>
        <w:rFonts w:ascii="Arial" w:hAnsi="Arial" w:cs="Arial"/>
        <w:i/>
        <w:sz w:val="24"/>
      </w:rPr>
      <w:t xml:space="preserve">окончательная редакция)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99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99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99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99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99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99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upperLetter"/>
      <w:pStyle w:val="1104"/>
      <w:isLgl w:val="false"/>
      <w:suff w:val="nothing"/>
      <w:lvlText w:val="Приложение %1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Times New Roman"/>
        <w:b/>
        <w:i w:val="0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0" w:firstLine="0"/>
        <w:tabs>
          <w:tab w:val="num" w:pos="6031" w:leader="none"/>
        </w:tabs>
      </w:pPr>
      <w:rPr>
        <w:rFonts w:hint="default" w:cs="Times New Roman"/>
        <w:b/>
        <w:i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0"/>
        <w:tabs>
          <w:tab w:val="num" w:pos="6391" w:leader="none"/>
        </w:tabs>
      </w:pPr>
      <w:rPr>
        <w:rFonts w:hint="default" w:cs="Times New Roman"/>
        <w:b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0"/>
        <w:tabs>
          <w:tab w:val="num" w:pos="6751" w:leader="none"/>
        </w:tabs>
      </w:pPr>
      <w:rPr>
        <w:rFonts w:hint="default" w:cs="Times New Roman"/>
        <w:b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0"/>
        <w:tabs>
          <w:tab w:val="num" w:pos="6751" w:leader="none"/>
        </w:tabs>
      </w:pPr>
      <w:rPr>
        <w:rFonts w:hint="default" w:cs="Times New Roman"/>
        <w:b/>
        <w:i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0" w:firstLine="0"/>
        <w:tabs>
          <w:tab w:val="num" w:pos="7111" w:leader="none"/>
        </w:tabs>
      </w:pPr>
      <w:rPr>
        <w:rFonts w:hint="default" w:cs="Times New Roman"/>
        <w:b/>
        <w:i w:val="0"/>
      </w:rPr>
    </w:lvl>
    <w:lvl w:ilvl="6">
      <w:start w:val="1"/>
      <w:numFmt w:val="lowerRoman"/>
      <w:isLgl w:val="false"/>
      <w:suff w:val="tab"/>
      <w:lvlText w:val="(%7)"/>
      <w:lvlJc w:val="left"/>
      <w:pPr>
        <w:ind w:left="9991" w:firstLine="0"/>
        <w:tabs>
          <w:tab w:val="num" w:pos="10711" w:leader="none"/>
        </w:tabs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(%8)"/>
      <w:lvlJc w:val="left"/>
      <w:pPr>
        <w:ind w:left="10711" w:firstLine="0"/>
        <w:tabs>
          <w:tab w:val="num" w:pos="11071" w:leader="none"/>
        </w:tabs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(%9)"/>
      <w:lvlJc w:val="left"/>
      <w:pPr>
        <w:ind w:left="11431" w:firstLine="0"/>
        <w:tabs>
          <w:tab w:val="num" w:pos="11791" w:leader="none"/>
        </w:tabs>
      </w:pPr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Arial"/>
        <w:b w:val="0"/>
        <w:color w:val="2b4279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Arial"/>
        <w:b w:val="0"/>
        <w:color w:val="2b4279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8">
    <w:name w:val="Heading 1 Char"/>
    <w:basedOn w:val="998"/>
    <w:link w:val="992"/>
    <w:uiPriority w:val="9"/>
    <w:rPr>
      <w:rFonts w:ascii="Arial" w:hAnsi="Arial" w:eastAsia="Arial" w:cs="Arial"/>
      <w:sz w:val="40"/>
      <w:szCs w:val="40"/>
    </w:rPr>
  </w:style>
  <w:style w:type="character" w:styleId="829">
    <w:name w:val="Heading 2 Char"/>
    <w:basedOn w:val="998"/>
    <w:link w:val="993"/>
    <w:uiPriority w:val="9"/>
    <w:rPr>
      <w:rFonts w:ascii="Arial" w:hAnsi="Arial" w:eastAsia="Arial" w:cs="Arial"/>
      <w:sz w:val="34"/>
    </w:rPr>
  </w:style>
  <w:style w:type="character" w:styleId="830">
    <w:name w:val="Heading 3 Char"/>
    <w:basedOn w:val="998"/>
    <w:link w:val="994"/>
    <w:uiPriority w:val="9"/>
    <w:rPr>
      <w:rFonts w:ascii="Arial" w:hAnsi="Arial" w:eastAsia="Arial" w:cs="Arial"/>
      <w:sz w:val="30"/>
      <w:szCs w:val="30"/>
    </w:rPr>
  </w:style>
  <w:style w:type="character" w:styleId="831">
    <w:name w:val="Heading 4 Char"/>
    <w:basedOn w:val="998"/>
    <w:link w:val="995"/>
    <w:uiPriority w:val="9"/>
    <w:rPr>
      <w:rFonts w:ascii="Arial" w:hAnsi="Arial" w:eastAsia="Arial" w:cs="Arial"/>
      <w:b/>
      <w:bCs/>
      <w:sz w:val="26"/>
      <w:szCs w:val="26"/>
    </w:rPr>
  </w:style>
  <w:style w:type="character" w:styleId="832">
    <w:name w:val="Heading 5 Char"/>
    <w:basedOn w:val="998"/>
    <w:link w:val="996"/>
    <w:uiPriority w:val="9"/>
    <w:rPr>
      <w:rFonts w:ascii="Arial" w:hAnsi="Arial" w:eastAsia="Arial" w:cs="Arial"/>
      <w:b/>
      <w:bCs/>
      <w:sz w:val="24"/>
      <w:szCs w:val="24"/>
    </w:rPr>
  </w:style>
  <w:style w:type="character" w:styleId="833">
    <w:name w:val="Heading 6 Char"/>
    <w:basedOn w:val="998"/>
    <w:link w:val="997"/>
    <w:uiPriority w:val="9"/>
    <w:rPr>
      <w:rFonts w:ascii="Arial" w:hAnsi="Arial" w:eastAsia="Arial" w:cs="Arial"/>
      <w:b/>
      <w:bCs/>
      <w:sz w:val="22"/>
      <w:szCs w:val="22"/>
    </w:rPr>
  </w:style>
  <w:style w:type="paragraph" w:styleId="834">
    <w:name w:val="Heading 7"/>
    <w:basedOn w:val="991"/>
    <w:next w:val="991"/>
    <w:link w:val="8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5">
    <w:name w:val="Heading 7 Char"/>
    <w:basedOn w:val="998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6">
    <w:name w:val="Heading 8"/>
    <w:basedOn w:val="991"/>
    <w:next w:val="991"/>
    <w:link w:val="8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7">
    <w:name w:val="Heading 8 Char"/>
    <w:basedOn w:val="99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991"/>
    <w:next w:val="991"/>
    <w:link w:val="8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9 Char"/>
    <w:basedOn w:val="998"/>
    <w:link w:val="838"/>
    <w:uiPriority w:val="9"/>
    <w:rPr>
      <w:rFonts w:ascii="Arial" w:hAnsi="Arial" w:eastAsia="Arial" w:cs="Arial"/>
      <w:i/>
      <w:iCs/>
      <w:sz w:val="21"/>
      <w:szCs w:val="21"/>
    </w:rPr>
  </w:style>
  <w:style w:type="paragraph" w:styleId="840">
    <w:name w:val="List Paragraph"/>
    <w:basedOn w:val="991"/>
    <w:uiPriority w:val="34"/>
    <w:qFormat/>
    <w:pPr>
      <w:contextualSpacing/>
      <w:ind w:left="720"/>
    </w:pPr>
  </w:style>
  <w:style w:type="paragraph" w:styleId="841">
    <w:name w:val="No Spacing"/>
    <w:uiPriority w:val="1"/>
    <w:qFormat/>
    <w:pPr>
      <w:spacing w:before="0" w:after="0" w:line="240" w:lineRule="auto"/>
    </w:pPr>
  </w:style>
  <w:style w:type="character" w:styleId="842">
    <w:name w:val="Title Char"/>
    <w:basedOn w:val="998"/>
    <w:link w:val="1061"/>
    <w:uiPriority w:val="10"/>
    <w:rPr>
      <w:sz w:val="48"/>
      <w:szCs w:val="48"/>
    </w:rPr>
  </w:style>
  <w:style w:type="paragraph" w:styleId="843">
    <w:name w:val="Subtitle"/>
    <w:basedOn w:val="991"/>
    <w:next w:val="991"/>
    <w:link w:val="844"/>
    <w:uiPriority w:val="11"/>
    <w:qFormat/>
    <w:pPr>
      <w:spacing w:before="200" w:after="200"/>
    </w:pPr>
    <w:rPr>
      <w:sz w:val="24"/>
      <w:szCs w:val="24"/>
    </w:rPr>
  </w:style>
  <w:style w:type="character" w:styleId="844">
    <w:name w:val="Subtitle Char"/>
    <w:basedOn w:val="998"/>
    <w:link w:val="843"/>
    <w:uiPriority w:val="11"/>
    <w:rPr>
      <w:sz w:val="24"/>
      <w:szCs w:val="24"/>
    </w:rPr>
  </w:style>
  <w:style w:type="paragraph" w:styleId="845">
    <w:name w:val="Quote"/>
    <w:basedOn w:val="991"/>
    <w:next w:val="991"/>
    <w:link w:val="846"/>
    <w:uiPriority w:val="29"/>
    <w:qFormat/>
    <w:pPr>
      <w:ind w:left="720" w:right="720"/>
    </w:pPr>
    <w:rPr>
      <w:i/>
    </w:rPr>
  </w:style>
  <w:style w:type="character" w:styleId="846">
    <w:name w:val="Quote Char"/>
    <w:link w:val="845"/>
    <w:uiPriority w:val="29"/>
    <w:rPr>
      <w:i/>
    </w:rPr>
  </w:style>
  <w:style w:type="paragraph" w:styleId="847">
    <w:name w:val="Intense Quote"/>
    <w:basedOn w:val="991"/>
    <w:next w:val="991"/>
    <w:link w:val="84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8">
    <w:name w:val="Intense Quote Char"/>
    <w:link w:val="847"/>
    <w:uiPriority w:val="30"/>
    <w:rPr>
      <w:i/>
    </w:rPr>
  </w:style>
  <w:style w:type="character" w:styleId="849">
    <w:name w:val="Header Char"/>
    <w:basedOn w:val="998"/>
    <w:link w:val="1091"/>
    <w:uiPriority w:val="99"/>
  </w:style>
  <w:style w:type="character" w:styleId="850">
    <w:name w:val="Footer Char"/>
    <w:basedOn w:val="998"/>
    <w:link w:val="1092"/>
    <w:uiPriority w:val="99"/>
  </w:style>
  <w:style w:type="character" w:styleId="851">
    <w:name w:val="Caption Char"/>
    <w:basedOn w:val="1064"/>
    <w:link w:val="1092"/>
    <w:uiPriority w:val="99"/>
  </w:style>
  <w:style w:type="table" w:styleId="852">
    <w:name w:val="Table Grid Light"/>
    <w:basedOn w:val="9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Plain Table 1"/>
    <w:basedOn w:val="9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>
    <w:name w:val="Plain Table 2"/>
    <w:basedOn w:val="9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>
    <w:name w:val="Plain Table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6">
    <w:name w:val="Plain Table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Plain Table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8">
    <w:name w:val="Grid Table 1 Light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4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0">
    <w:name w:val="Grid Table 4 - Accent 1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1">
    <w:name w:val="Grid Table 4 - Accent 2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Grid Table 4 - Accent 3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3">
    <w:name w:val="Grid Table 4 - Accent 4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Grid Table 4 - Accent 5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5">
    <w:name w:val="Grid Table 4 - Accent 6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6">
    <w:name w:val="Grid Table 5 Dark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7">
    <w:name w:val="Grid Table 5 Dark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88">
    <w:name w:val="Grid Table 5 Dark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90">
    <w:name w:val="Grid Table 5 Dark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3">
    <w:name w:val="Grid Table 6 Colorful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4">
    <w:name w:val="Grid Table 6 Colorful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5">
    <w:name w:val="Grid Table 6 Colorful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6">
    <w:name w:val="Grid Table 6 Colorful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7">
    <w:name w:val="Grid Table 6 Colorful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8">
    <w:name w:val="Grid Table 6 Colorful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9">
    <w:name w:val="Grid Table 6 Colorful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0">
    <w:name w:val="Grid Table 7 Colorful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5">
    <w:name w:val="List Table 2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6">
    <w:name w:val="List Table 2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7">
    <w:name w:val="List Table 2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8">
    <w:name w:val="List Table 2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9">
    <w:name w:val="List Table 2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0">
    <w:name w:val="List Table 2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1">
    <w:name w:val="List Table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5 Dark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6 Colorful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3">
    <w:name w:val="List Table 6 Colorful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4">
    <w:name w:val="List Table 6 Colorful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5">
    <w:name w:val="List Table 6 Colorful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6">
    <w:name w:val="List Table 6 Colorful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7">
    <w:name w:val="List Table 6 Colorful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8">
    <w:name w:val="List Table 6 Colorful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9">
    <w:name w:val="List Table 7 Colorful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0">
    <w:name w:val="List Table 7 Colorful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51">
    <w:name w:val="List Table 7 Colorful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52">
    <w:name w:val="List Table 7 Colorful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53">
    <w:name w:val="List Table 7 Colorful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54">
    <w:name w:val="List Table 7 Colorful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55">
    <w:name w:val="List Table 7 Colorful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56">
    <w:name w:val="Lined - Accent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7">
    <w:name w:val="Lined - Accent 1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58">
    <w:name w:val="Lined - Accent 2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9">
    <w:name w:val="Lined - Accent 3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0">
    <w:name w:val="Lined - Accent 4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1">
    <w:name w:val="Lined - Accent 5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62">
    <w:name w:val="Lined - Accent 6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3">
    <w:name w:val="Bordered &amp; Lined - Accent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4">
    <w:name w:val="Bordered &amp; Lined - Accent 1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65">
    <w:name w:val="Bordered &amp; Lined - Accent 2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6">
    <w:name w:val="Bordered &amp; Lined - Accent 3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7">
    <w:name w:val="Bordered &amp; Lined - Accent 4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8">
    <w:name w:val="Bordered &amp; Lined - Accent 5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69">
    <w:name w:val="Bordered &amp; Lined - Accent 6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0">
    <w:name w:val="Bordered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1">
    <w:name w:val="Bordered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2">
    <w:name w:val="Bordered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3">
    <w:name w:val="Bordered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4">
    <w:name w:val="Bordered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5">
    <w:name w:val="Bordered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6">
    <w:name w:val="Bordered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7">
    <w:name w:val="Footnote Text Char"/>
    <w:link w:val="1118"/>
    <w:uiPriority w:val="99"/>
    <w:rPr>
      <w:sz w:val="18"/>
    </w:rPr>
  </w:style>
  <w:style w:type="paragraph" w:styleId="978">
    <w:name w:val="endnote text"/>
    <w:basedOn w:val="991"/>
    <w:link w:val="979"/>
    <w:uiPriority w:val="99"/>
    <w:semiHidden/>
    <w:unhideWhenUsed/>
    <w:pPr>
      <w:spacing w:after="0" w:line="240" w:lineRule="auto"/>
    </w:pPr>
    <w:rPr>
      <w:sz w:val="20"/>
    </w:rPr>
  </w:style>
  <w:style w:type="character" w:styleId="979">
    <w:name w:val="Endnote Text Char"/>
    <w:link w:val="978"/>
    <w:uiPriority w:val="99"/>
    <w:rPr>
      <w:sz w:val="20"/>
    </w:rPr>
  </w:style>
  <w:style w:type="character" w:styleId="980">
    <w:name w:val="endnote reference"/>
    <w:basedOn w:val="998"/>
    <w:uiPriority w:val="99"/>
    <w:semiHidden/>
    <w:unhideWhenUsed/>
    <w:rPr>
      <w:vertAlign w:val="superscript"/>
    </w:rPr>
  </w:style>
  <w:style w:type="paragraph" w:styleId="981">
    <w:name w:val="toc 1"/>
    <w:basedOn w:val="991"/>
    <w:next w:val="991"/>
    <w:uiPriority w:val="39"/>
    <w:unhideWhenUsed/>
    <w:pPr>
      <w:ind w:left="0" w:right="0" w:firstLine="0"/>
      <w:spacing w:after="57"/>
    </w:pPr>
  </w:style>
  <w:style w:type="paragraph" w:styleId="982">
    <w:name w:val="toc 3"/>
    <w:basedOn w:val="991"/>
    <w:next w:val="991"/>
    <w:uiPriority w:val="39"/>
    <w:unhideWhenUsed/>
    <w:pPr>
      <w:ind w:left="567" w:right="0" w:firstLine="0"/>
      <w:spacing w:after="57"/>
    </w:pPr>
  </w:style>
  <w:style w:type="paragraph" w:styleId="983">
    <w:name w:val="toc 4"/>
    <w:basedOn w:val="991"/>
    <w:next w:val="991"/>
    <w:uiPriority w:val="39"/>
    <w:unhideWhenUsed/>
    <w:pPr>
      <w:ind w:left="850" w:right="0" w:firstLine="0"/>
      <w:spacing w:after="57"/>
    </w:pPr>
  </w:style>
  <w:style w:type="paragraph" w:styleId="984">
    <w:name w:val="toc 5"/>
    <w:basedOn w:val="991"/>
    <w:next w:val="991"/>
    <w:uiPriority w:val="39"/>
    <w:unhideWhenUsed/>
    <w:pPr>
      <w:ind w:left="1134" w:right="0" w:firstLine="0"/>
      <w:spacing w:after="57"/>
    </w:pPr>
  </w:style>
  <w:style w:type="paragraph" w:styleId="985">
    <w:name w:val="toc 6"/>
    <w:basedOn w:val="991"/>
    <w:next w:val="991"/>
    <w:uiPriority w:val="39"/>
    <w:unhideWhenUsed/>
    <w:pPr>
      <w:ind w:left="1417" w:right="0" w:firstLine="0"/>
      <w:spacing w:after="57"/>
    </w:pPr>
  </w:style>
  <w:style w:type="paragraph" w:styleId="986">
    <w:name w:val="toc 7"/>
    <w:basedOn w:val="991"/>
    <w:next w:val="991"/>
    <w:uiPriority w:val="39"/>
    <w:unhideWhenUsed/>
    <w:pPr>
      <w:ind w:left="1701" w:right="0" w:firstLine="0"/>
      <w:spacing w:after="57"/>
    </w:pPr>
  </w:style>
  <w:style w:type="paragraph" w:styleId="987">
    <w:name w:val="toc 8"/>
    <w:basedOn w:val="991"/>
    <w:next w:val="991"/>
    <w:uiPriority w:val="39"/>
    <w:unhideWhenUsed/>
    <w:pPr>
      <w:ind w:left="1984" w:right="0" w:firstLine="0"/>
      <w:spacing w:after="57"/>
    </w:pPr>
  </w:style>
  <w:style w:type="paragraph" w:styleId="988">
    <w:name w:val="toc 9"/>
    <w:basedOn w:val="991"/>
    <w:next w:val="991"/>
    <w:uiPriority w:val="39"/>
    <w:unhideWhenUsed/>
    <w:pPr>
      <w:ind w:left="2268" w:right="0" w:firstLine="0"/>
      <w:spacing w:after="57"/>
    </w:pPr>
  </w:style>
  <w:style w:type="paragraph" w:styleId="989">
    <w:name w:val="TOC Heading"/>
    <w:uiPriority w:val="39"/>
    <w:unhideWhenUsed/>
  </w:style>
  <w:style w:type="paragraph" w:styleId="990">
    <w:name w:val="table of figures"/>
    <w:basedOn w:val="991"/>
    <w:next w:val="991"/>
    <w:uiPriority w:val="99"/>
    <w:unhideWhenUsed/>
    <w:pPr>
      <w:spacing w:after="0" w:afterAutospacing="0"/>
    </w:pPr>
  </w:style>
  <w:style w:type="paragraph" w:styleId="991" w:default="1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992">
    <w:name w:val="Heading 1"/>
    <w:basedOn w:val="1061"/>
    <w:next w:val="1062"/>
    <w:qFormat/>
    <w:pPr>
      <w:numPr>
        <w:numId w:val="1"/>
      </w:numPr>
      <w:spacing w:before="240" w:after="120"/>
      <w:outlineLvl w:val="0"/>
    </w:pPr>
    <w:rPr>
      <w:rFonts w:ascii="Liberation Serif" w:hAnsi="Liberation Serif" w:eastAsia="NSimSun"/>
      <w:sz w:val="48"/>
      <w:szCs w:val="48"/>
    </w:rPr>
  </w:style>
  <w:style w:type="paragraph" w:styleId="993">
    <w:name w:val="Heading 2"/>
    <w:basedOn w:val="991"/>
    <w:next w:val="991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94">
    <w:name w:val="Heading 3"/>
    <w:basedOn w:val="991"/>
    <w:next w:val="991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95">
    <w:name w:val="Heading 4"/>
    <w:basedOn w:val="991"/>
    <w:next w:val="991"/>
    <w:qFormat/>
    <w:pPr>
      <w:numPr>
        <w:ilvl w:val="3"/>
        <w:numId w:val="1"/>
      </w:num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996">
    <w:name w:val="Heading 5"/>
    <w:basedOn w:val="991"/>
    <w:next w:val="99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97">
    <w:name w:val="Heading 6"/>
    <w:basedOn w:val="991"/>
    <w:next w:val="991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styleId="998" w:default="1">
    <w:name w:val="Default Paragraph Font"/>
    <w:uiPriority w:val="1"/>
    <w:semiHidden/>
    <w:unhideWhenUsed/>
  </w:style>
  <w:style w:type="table" w:styleId="9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0" w:default="1">
    <w:name w:val="No List"/>
    <w:uiPriority w:val="99"/>
    <w:semiHidden/>
    <w:unhideWhenUsed/>
  </w:style>
  <w:style w:type="character" w:styleId="1001" w:customStyle="1">
    <w:name w:val="WW8Num1z0"/>
    <w:rPr>
      <w:rFonts w:cs="Times New Roman"/>
    </w:rPr>
  </w:style>
  <w:style w:type="character" w:styleId="1002" w:customStyle="1">
    <w:name w:val="WW8Num1z1"/>
    <w:rPr>
      <w:rFonts w:ascii="Arial" w:hAnsi="Arial" w:cs="Times New Roman"/>
      <w:b/>
      <w:sz w:val="24"/>
    </w:rPr>
  </w:style>
  <w:style w:type="character" w:styleId="1003" w:customStyle="1">
    <w:name w:val="WW8Num2z0"/>
    <w:rPr>
      <w:rFonts w:cs="Times New Roman"/>
    </w:rPr>
  </w:style>
  <w:style w:type="character" w:styleId="1004" w:customStyle="1">
    <w:name w:val="WW8Num3z0"/>
    <w:rPr>
      <w:rFonts w:hint="default" w:ascii="Arial" w:hAnsi="Arial" w:cs="Times New Roman"/>
      <w:b/>
      <w:i w:val="0"/>
      <w:sz w:val="28"/>
    </w:rPr>
  </w:style>
  <w:style w:type="character" w:styleId="1005" w:customStyle="1">
    <w:name w:val="WW8Num3z1"/>
    <w:rPr>
      <w:rFonts w:hint="default" w:cs="Times New Roman"/>
      <w:b/>
      <w:i w:val="0"/>
    </w:rPr>
  </w:style>
  <w:style w:type="character" w:styleId="1006" w:customStyle="1">
    <w:name w:val="WW8Num3z6"/>
    <w:rPr>
      <w:rFonts w:hint="default" w:cs="Times New Roman"/>
    </w:rPr>
  </w:style>
  <w:style w:type="character" w:styleId="1007" w:customStyle="1">
    <w:name w:val="WW8Num4z0"/>
    <w:rPr>
      <w:rFonts w:hint="default" w:ascii="Arial" w:hAnsi="Arial" w:cs="Arial"/>
    </w:rPr>
  </w:style>
  <w:style w:type="character" w:styleId="1008" w:customStyle="1">
    <w:name w:val="WW8Num4z1"/>
    <w:rPr>
      <w:rFonts w:hint="default" w:ascii="Courier New" w:hAnsi="Courier New" w:cs="Courier New"/>
    </w:rPr>
  </w:style>
  <w:style w:type="character" w:styleId="1009" w:customStyle="1">
    <w:name w:val="WW8Num4z2"/>
    <w:rPr>
      <w:rFonts w:hint="default" w:ascii="Wingdings" w:hAnsi="Wingdings" w:cs="Wingdings"/>
    </w:rPr>
  </w:style>
  <w:style w:type="character" w:styleId="1010" w:customStyle="1">
    <w:name w:val="WW8Num4z3"/>
    <w:rPr>
      <w:rFonts w:hint="default" w:ascii="Symbol" w:hAnsi="Symbol" w:cs="Symbol"/>
    </w:rPr>
  </w:style>
  <w:style w:type="character" w:styleId="1011" w:customStyle="1">
    <w:name w:val="WW8Num5z0"/>
  </w:style>
  <w:style w:type="character" w:styleId="1012" w:customStyle="1">
    <w:name w:val="WW8Num5z1"/>
  </w:style>
  <w:style w:type="character" w:styleId="1013" w:customStyle="1">
    <w:name w:val="WW8Num5z2"/>
  </w:style>
  <w:style w:type="character" w:styleId="1014" w:customStyle="1">
    <w:name w:val="WW8Num5z3"/>
  </w:style>
  <w:style w:type="character" w:styleId="1015" w:customStyle="1">
    <w:name w:val="WW8Num5z4"/>
  </w:style>
  <w:style w:type="character" w:styleId="1016" w:customStyle="1">
    <w:name w:val="WW8Num5z5"/>
  </w:style>
  <w:style w:type="character" w:styleId="1017" w:customStyle="1">
    <w:name w:val="WW8Num5z6"/>
  </w:style>
  <w:style w:type="character" w:styleId="1018" w:customStyle="1">
    <w:name w:val="WW8Num5z7"/>
  </w:style>
  <w:style w:type="character" w:styleId="1019" w:customStyle="1">
    <w:name w:val="WW8Num5z8"/>
  </w:style>
  <w:style w:type="character" w:styleId="1020" w:customStyle="1">
    <w:name w:val="Основной шрифт абзаца2"/>
  </w:style>
  <w:style w:type="character" w:styleId="1021" w:customStyle="1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styleId="1022" w:customStyle="1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styleId="1023" w:customStyle="1">
    <w:name w:val="Заголовок 4 Знак"/>
    <w:rPr>
      <w:rFonts w:ascii="Calibri" w:hAnsi="Calibri" w:cs="Times New Roman"/>
      <w:b/>
      <w:bCs/>
      <w:sz w:val="28"/>
      <w:szCs w:val="28"/>
    </w:rPr>
  </w:style>
  <w:style w:type="character" w:styleId="1024" w:customStyle="1">
    <w:name w:val="Заголовок 5 Знак"/>
    <w:rPr>
      <w:rFonts w:ascii="Calibri" w:hAnsi="Calibri" w:cs="Times New Roman"/>
      <w:b/>
      <w:bCs/>
      <w:i/>
      <w:iCs/>
      <w:sz w:val="26"/>
      <w:szCs w:val="26"/>
    </w:rPr>
  </w:style>
  <w:style w:type="character" w:styleId="1025" w:customStyle="1">
    <w:name w:val="Заголовок 6 Знак"/>
    <w:rPr>
      <w:rFonts w:ascii="Calibri" w:hAnsi="Calibri" w:cs="Times New Roman"/>
      <w:b/>
      <w:bCs/>
    </w:rPr>
  </w:style>
  <w:style w:type="character" w:styleId="1026" w:customStyle="1">
    <w:name w:val="Основной шрифт абзаца1"/>
  </w:style>
  <w:style w:type="character" w:styleId="1027" w:customStyle="1">
    <w:name w:val="DO_NOT_TRANSLATE"/>
    <w:rPr>
      <w:rFonts w:ascii="Courier New" w:hAnsi="Courier New" w:cs="Courier New"/>
      <w:color w:val="800000"/>
      <w:lang w:val="ru-RU"/>
    </w:rPr>
  </w:style>
  <w:style w:type="character" w:styleId="1028" w:customStyle="1">
    <w:name w:val="Номер страницы1"/>
    <w:rPr>
      <w:rFonts w:cs="Times New Roman"/>
    </w:rPr>
  </w:style>
  <w:style w:type="character" w:styleId="1029">
    <w:name w:val="Hyperlink"/>
    <w:rPr>
      <w:rFonts w:cs="Times New Roman"/>
      <w:color w:val="0000ff"/>
      <w:u w:val="single"/>
    </w:rPr>
  </w:style>
  <w:style w:type="character" w:styleId="1030" w:customStyle="1">
    <w:name w:val="match"/>
    <w:rPr>
      <w:rFonts w:cs="Times New Roman"/>
    </w:rPr>
  </w:style>
  <w:style w:type="character" w:styleId="1031" w:customStyle="1">
    <w:name w:val="ListLabel 1"/>
  </w:style>
  <w:style w:type="character" w:styleId="1032" w:customStyle="1">
    <w:name w:val="ListLabel 2"/>
  </w:style>
  <w:style w:type="character" w:styleId="1033" w:customStyle="1">
    <w:name w:val="ListLabel 3"/>
  </w:style>
  <w:style w:type="character" w:styleId="1034" w:customStyle="1">
    <w:name w:val="ListLabel 4"/>
  </w:style>
  <w:style w:type="character" w:styleId="1035" w:customStyle="1">
    <w:name w:val="ListLabel 5"/>
  </w:style>
  <w:style w:type="character" w:styleId="1036" w:customStyle="1">
    <w:name w:val="ListLabel 6"/>
  </w:style>
  <w:style w:type="character" w:styleId="1037" w:customStyle="1">
    <w:name w:val="ListLabel 7"/>
  </w:style>
  <w:style w:type="character" w:styleId="1038" w:customStyle="1">
    <w:name w:val="ListLabel 8"/>
  </w:style>
  <w:style w:type="character" w:styleId="1039" w:customStyle="1">
    <w:name w:val="ListLabel 9"/>
  </w:style>
  <w:style w:type="character" w:styleId="1040" w:customStyle="1">
    <w:name w:val="ListLabel 10"/>
  </w:style>
  <w:style w:type="character" w:styleId="1041" w:customStyle="1">
    <w:name w:val="ListLabel 11"/>
    <w:rPr>
      <w:rFonts w:ascii="Arial" w:hAnsi="Arial" w:cs="Arial"/>
      <w:b/>
      <w:sz w:val="24"/>
    </w:rPr>
  </w:style>
  <w:style w:type="character" w:styleId="1042" w:customStyle="1">
    <w:name w:val="ListLabel 12"/>
  </w:style>
  <w:style w:type="character" w:styleId="1043" w:customStyle="1">
    <w:name w:val="ListLabel 13"/>
  </w:style>
  <w:style w:type="character" w:styleId="1044" w:customStyle="1">
    <w:name w:val="ListLabel 14"/>
  </w:style>
  <w:style w:type="character" w:styleId="1045" w:customStyle="1">
    <w:name w:val="ListLabel 15"/>
  </w:style>
  <w:style w:type="character" w:styleId="1046" w:customStyle="1">
    <w:name w:val="ListLabel 16"/>
  </w:style>
  <w:style w:type="character" w:styleId="1047" w:customStyle="1">
    <w:name w:val="ListLabel 17"/>
  </w:style>
  <w:style w:type="character" w:styleId="1048" w:customStyle="1">
    <w:name w:val="ListLabel 18"/>
  </w:style>
  <w:style w:type="character" w:styleId="1049" w:customStyle="1">
    <w:name w:val="ListLabel 19"/>
    <w:rPr>
      <w:rFonts w:eastAsia="Times New Roman"/>
    </w:rPr>
  </w:style>
  <w:style w:type="character" w:styleId="1050" w:customStyle="1">
    <w:name w:val="ListLabel 20"/>
    <w:rPr>
      <w:rFonts w:ascii="Arial" w:hAnsi="Arial" w:cs="Arial"/>
      <w:sz w:val="24"/>
      <w:u w:val="single"/>
      <w:lang w:val="ru-RU"/>
    </w:rPr>
  </w:style>
  <w:style w:type="character" w:styleId="1051" w:customStyle="1">
    <w:name w:val="ListLabel 21"/>
    <w:rPr>
      <w:color w:val="0000aa"/>
      <w:sz w:val="24"/>
      <w:u w:val="single"/>
    </w:rPr>
  </w:style>
  <w:style w:type="character" w:styleId="1052" w:customStyle="1">
    <w:name w:val="ListLabel 22"/>
    <w:rPr>
      <w:color w:val="0000ff"/>
      <w:sz w:val="24"/>
      <w:u w:val="single"/>
    </w:rPr>
  </w:style>
  <w:style w:type="character" w:styleId="1053" w:customStyle="1">
    <w:name w:val="ListLabel 23"/>
    <w:rPr>
      <w:rFonts w:ascii="Arial" w:hAnsi="Arial" w:cs="Arial"/>
      <w:sz w:val="24"/>
      <w:lang w:val="ru-RU"/>
    </w:rPr>
  </w:style>
  <w:style w:type="character" w:styleId="1054" w:customStyle="1">
    <w:name w:val="ListLabel 24"/>
    <w:rPr>
      <w:rFonts w:ascii="Arial" w:hAnsi="Arial" w:cs="Arial"/>
      <w:color w:val="0000aa"/>
      <w:sz w:val="24"/>
      <w:u w:val="single"/>
      <w:lang w:val="ru-RU"/>
    </w:rPr>
  </w:style>
  <w:style w:type="character" w:styleId="1055" w:customStyle="1">
    <w:name w:val="ListLabel 25"/>
    <w:rPr>
      <w:rFonts w:ascii="Arial" w:hAnsi="Arial" w:cs="Arial"/>
      <w:color w:val="0000ff"/>
      <w:sz w:val="24"/>
      <w:u w:val="single"/>
      <w:lang w:val="ru-RU"/>
    </w:rPr>
  </w:style>
  <w:style w:type="character" w:styleId="1056" w:customStyle="1">
    <w:name w:val="Основной текст Знак"/>
    <w:rPr>
      <w:rFonts w:ascii="Calibri" w:hAnsi="Calibri" w:cs="Times New Roman"/>
    </w:rPr>
  </w:style>
  <w:style w:type="character" w:styleId="1057" w:customStyle="1">
    <w:name w:val="Верхний колонтитул Знак"/>
    <w:rPr>
      <w:rFonts w:ascii="Calibri" w:hAnsi="Calibri" w:cs="Times New Roman"/>
    </w:rPr>
  </w:style>
  <w:style w:type="character" w:styleId="1058" w:customStyle="1">
    <w:name w:val="Нижний колонтитул Знак"/>
    <w:uiPriority w:val="99"/>
    <w:rPr>
      <w:rFonts w:ascii="Calibri" w:hAnsi="Calibri" w:cs="Times New Roman"/>
    </w:rPr>
  </w:style>
  <w:style w:type="character" w:styleId="1059" w:customStyle="1">
    <w:name w:val="Текст выноски Знак"/>
    <w:rPr>
      <w:rFonts w:ascii="Tahoma" w:hAnsi="Tahoma" w:cs="Tahoma"/>
      <w:sz w:val="16"/>
      <w:szCs w:val="16"/>
    </w:rPr>
  </w:style>
  <w:style w:type="character" w:styleId="1060">
    <w:name w:val="Strong"/>
    <w:qFormat/>
    <w:rPr>
      <w:rFonts w:cs="Times New Roman"/>
      <w:b/>
      <w:bCs/>
    </w:rPr>
  </w:style>
  <w:style w:type="paragraph" w:styleId="1061">
    <w:name w:val="Title"/>
    <w:basedOn w:val="991"/>
    <w:next w:val="1062"/>
    <w:rPr>
      <w:rFonts w:ascii="Arial" w:hAnsi="Arial" w:cs="Arial"/>
      <w:b/>
      <w:bCs/>
    </w:rPr>
  </w:style>
  <w:style w:type="paragraph" w:styleId="1062">
    <w:name w:val="Body Text"/>
    <w:basedOn w:val="991"/>
    <w:pPr>
      <w:spacing w:after="120"/>
      <w:widowControl w:val="off"/>
    </w:pPr>
    <w:rPr>
      <w:rFonts w:ascii="Verdana" w:hAnsi="Verdana" w:cs="Verdana"/>
      <w:sz w:val="20"/>
      <w:szCs w:val="20"/>
    </w:rPr>
  </w:style>
  <w:style w:type="paragraph" w:styleId="1063">
    <w:name w:val="List"/>
    <w:basedOn w:val="1062"/>
    <w:rPr>
      <w:rFonts w:cs="Mangal"/>
    </w:rPr>
  </w:style>
  <w:style w:type="paragraph" w:styleId="1064">
    <w:name w:val="Caption"/>
    <w:basedOn w:val="991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65" w:customStyle="1">
    <w:name w:val="Указатель2"/>
    <w:basedOn w:val="991"/>
    <w:pPr>
      <w:suppressLineNumbers/>
    </w:pPr>
    <w:rPr>
      <w:rFonts w:cs="Arial"/>
    </w:rPr>
  </w:style>
  <w:style w:type="paragraph" w:styleId="1066" w:customStyle="1">
    <w:name w:val="Название объекта1"/>
    <w:basedOn w:val="99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67" w:customStyle="1">
    <w:name w:val="Указатель1"/>
    <w:basedOn w:val="991"/>
    <w:pPr>
      <w:suppressLineNumbers/>
    </w:pPr>
    <w:rPr>
      <w:rFonts w:cs="Mangal"/>
    </w:rPr>
  </w:style>
  <w:style w:type="paragraph" w:styleId="1068" w:customStyle="1">
    <w:name w:val="DocumentMap"/>
    <w:rPr>
      <w:rFonts w:ascii="Calibri" w:hAnsi="Calibri" w:cs="Calibri"/>
      <w:lang w:eastAsia="zh-CN" w:bidi="hi-IN"/>
    </w:rPr>
  </w:style>
  <w:style w:type="paragraph" w:styleId="1069" w:customStyle="1">
    <w:name w:val="#COL_BOTTOM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070" w:customStyle="1">
    <w:name w:val="#COL_TOP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071" w:customStyle="1">
    <w:name w:val="#PRINT_SECTION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072" w:customStyle="1">
    <w:name w:val=".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73" w:customStyle="1">
    <w:name w:val=".CENTERTEX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74" w:customStyle="1">
    <w:name w:val=".DJVU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75" w:customStyle="1">
    <w:name w:val=".EMPTY_LIN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76" w:customStyle="1">
    <w:name w:val=".FORMATTEXT"/>
    <w:uiPriority w:val="99"/>
    <w:pPr>
      <w:widowControl w:val="off"/>
    </w:pPr>
    <w:rPr>
      <w:rFonts w:ascii="Arial" w:hAnsi="Arial" w:cs="Arial"/>
      <w:lang w:eastAsia="zh-CN"/>
    </w:rPr>
  </w:style>
  <w:style w:type="paragraph" w:styleId="1077" w:customStyle="1">
    <w:name w:val=".HEADERTEXT"/>
    <w:pPr>
      <w:widowControl w:val="off"/>
    </w:pPr>
    <w:rPr>
      <w:rFonts w:ascii="Arial" w:hAnsi="Arial" w:cs="Arial"/>
      <w:color w:val="2b4279"/>
      <w:lang w:eastAsia="zh-CN"/>
    </w:rPr>
  </w:style>
  <w:style w:type="paragraph" w:styleId="1078" w:customStyle="1">
    <w:name w:val=".HORIZLIN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79" w:customStyle="1">
    <w:name w:val=".IMAG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80" w:customStyle="1">
    <w:name w:val=".MIDDLEPIC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81" w:customStyle="1">
    <w:name w:val=".OPENTAB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82" w:customStyle="1">
    <w:name w:val=".TOPLEVELTEX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83" w:customStyle="1">
    <w:name w:val=".TradeMark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084" w:customStyle="1">
    <w:name w:val=".UNFORMATTEXT"/>
    <w:pPr>
      <w:widowControl w:val="off"/>
    </w:pPr>
    <w:rPr>
      <w:rFonts w:ascii="Courier New" w:hAnsi="Courier New" w:cs="Courier New"/>
      <w:lang w:eastAsia="zh-CN"/>
    </w:rPr>
  </w:style>
  <w:style w:type="paragraph" w:styleId="1085" w:customStyle="1">
    <w:name w:val="BODY"/>
    <w:pPr>
      <w:widowControl w:val="off"/>
    </w:pPr>
    <w:rPr>
      <w:rFonts w:ascii="Arial" w:hAnsi="Arial" w:cs="Arial"/>
      <w:lang w:eastAsia="zh-CN"/>
    </w:rPr>
  </w:style>
  <w:style w:type="paragraph" w:styleId="1086" w:customStyle="1">
    <w:name w:val="HTML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87" w:customStyle="1">
    <w:name w:val="TABL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88" w:customStyle="1">
    <w:name w:val="Сетка таблицы1"/>
    <w:basedOn w:val="1068"/>
    <w:rPr>
      <w:sz w:val="22"/>
      <w:szCs w:val="22"/>
      <w:lang w:bidi="ar-SA"/>
    </w:rPr>
  </w:style>
  <w:style w:type="paragraph" w:styleId="1089" w:customStyle="1">
    <w:name w:val="Без интервала1"/>
    <w:rPr>
      <w:rFonts w:ascii="Calibri" w:hAnsi="Calibri" w:cs="Calibri"/>
      <w:sz w:val="22"/>
      <w:szCs w:val="22"/>
      <w:lang w:eastAsia="zh-CN"/>
    </w:rPr>
  </w:style>
  <w:style w:type="paragraph" w:styleId="1090" w:customStyle="1">
    <w:name w:val="Верхний и нижний колонтитулы"/>
    <w:basedOn w:val="991"/>
    <w:pPr>
      <w:tabs>
        <w:tab w:val="center" w:pos="4819" w:leader="none"/>
        <w:tab w:val="right" w:pos="9638" w:leader="none"/>
      </w:tabs>
      <w:suppressLineNumbers/>
    </w:pPr>
  </w:style>
  <w:style w:type="paragraph" w:styleId="1091">
    <w:name w:val="Header"/>
    <w:basedOn w:val="991"/>
  </w:style>
  <w:style w:type="paragraph" w:styleId="1092">
    <w:name w:val="Footer"/>
    <w:basedOn w:val="991"/>
    <w:uiPriority w:val="99"/>
  </w:style>
  <w:style w:type="paragraph" w:styleId="1093" w:customStyle="1">
    <w:name w:val="headertext"/>
    <w:basedOn w:val="991"/>
    <w:pPr>
      <w:spacing w:before="100" w:after="100"/>
    </w:pPr>
    <w:rPr>
      <w:sz w:val="24"/>
      <w:szCs w:val="24"/>
    </w:rPr>
  </w:style>
  <w:style w:type="paragraph" w:styleId="1094" w:customStyle="1">
    <w:name w:val="formattext topleveltext"/>
    <w:basedOn w:val="991"/>
    <w:pPr>
      <w:spacing w:before="100" w:after="100"/>
    </w:pPr>
    <w:rPr>
      <w:sz w:val="24"/>
      <w:szCs w:val="24"/>
    </w:rPr>
  </w:style>
  <w:style w:type="paragraph" w:styleId="1095" w:customStyle="1">
    <w:name w:val="FR1"/>
    <w:pPr>
      <w:ind w:left="2280" w:right="2200"/>
      <w:jc w:val="center"/>
      <w:spacing w:line="300" w:lineRule="auto"/>
      <w:widowControl w:val="off"/>
    </w:pPr>
    <w:rPr>
      <w:sz w:val="28"/>
      <w:lang w:eastAsia="zh-CN"/>
    </w:rPr>
  </w:style>
  <w:style w:type="paragraph" w:styleId="1096" w:customStyle="1">
    <w:name w:val="ConsPlusTitle"/>
    <w:pPr>
      <w:widowControl w:val="off"/>
    </w:pPr>
    <w:rPr>
      <w:b/>
      <w:bCs/>
      <w:sz w:val="24"/>
      <w:szCs w:val="24"/>
      <w:lang w:eastAsia="zh-CN"/>
    </w:rPr>
  </w:style>
  <w:style w:type="paragraph" w:styleId="1097" w:customStyle="1">
    <w:name w:val="formattext"/>
    <w:basedOn w:val="991"/>
    <w:pPr>
      <w:spacing w:before="100" w:after="100"/>
    </w:pPr>
    <w:rPr>
      <w:sz w:val="24"/>
      <w:szCs w:val="24"/>
    </w:rPr>
  </w:style>
  <w:style w:type="paragraph" w:styleId="1098" w:customStyle="1">
    <w:name w:val="Основной текст 21"/>
    <w:basedOn w:val="991"/>
    <w:pPr>
      <w:widowControl w:val="off"/>
    </w:pPr>
    <w:rPr>
      <w:rFonts w:ascii="Verdana" w:hAnsi="Verdana" w:cs="Verdana"/>
      <w:b/>
      <w:sz w:val="24"/>
      <w:szCs w:val="20"/>
    </w:rPr>
  </w:style>
  <w:style w:type="paragraph" w:styleId="1099" w:customStyle="1">
    <w:name w:val="headertext topleveltext centertext"/>
    <w:basedOn w:val="991"/>
    <w:pPr>
      <w:spacing w:before="100" w:after="100"/>
    </w:pPr>
    <w:rPr>
      <w:sz w:val="24"/>
      <w:szCs w:val="24"/>
    </w:rPr>
  </w:style>
  <w:style w:type="paragraph" w:styleId="1100">
    <w:name w:val="Balloon Text"/>
    <w:basedOn w:val="9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01">
    <w:name w:val="toc 2"/>
    <w:basedOn w:val="991"/>
    <w:next w:val="991"/>
    <w:pPr>
      <w:ind w:left="220"/>
    </w:pPr>
  </w:style>
  <w:style w:type="paragraph" w:styleId="1102" w:customStyle="1">
    <w:name w:val="1_Osn_Abz"/>
    <w:pPr>
      <w:jc w:val="both"/>
      <w:spacing w:before="120" w:after="120"/>
      <w:widowControl w:val="off"/>
    </w:pPr>
    <w:rPr>
      <w:rFonts w:ascii="Arial" w:hAnsi="Arial" w:eastAsia="MS Mincho" w:cs="Arial"/>
      <w:color w:val="000000"/>
      <w:lang w:eastAsia="zh-CN"/>
    </w:rPr>
  </w:style>
  <w:style w:type="paragraph" w:styleId="1103" w:customStyle="1">
    <w:name w:val="1_Zag_L1"/>
    <w:next w:val="1102"/>
    <w:pPr>
      <w:jc w:val="both"/>
      <w:spacing w:before="120" w:after="120"/>
      <w:widowControl w:val="off"/>
    </w:pPr>
    <w:rPr>
      <w:rFonts w:ascii="Arial" w:hAnsi="Arial" w:eastAsia="MS Mincho" w:cs="Arial"/>
      <w:b/>
      <w:color w:val="000000"/>
      <w:sz w:val="24"/>
      <w:lang w:eastAsia="zh-CN"/>
    </w:rPr>
  </w:style>
  <w:style w:type="paragraph" w:styleId="1104" w:customStyle="1">
    <w:name w:val="a2"/>
    <w:basedOn w:val="993"/>
    <w:next w:val="991"/>
    <w:pPr>
      <w:numPr>
        <w:ilvl w:val="0"/>
        <w:numId w:val="2"/>
      </w:numPr>
      <w:spacing w:before="270" w:after="240" w:line="270" w:lineRule="exact"/>
    </w:pPr>
    <w:rPr>
      <w:rFonts w:eastAsia="MS Mincho" w:cs="Times New Roman"/>
      <w:sz w:val="24"/>
      <w:szCs w:val="20"/>
      <w:lang w:val="en-GB"/>
    </w:rPr>
  </w:style>
  <w:style w:type="paragraph" w:styleId="1105" w:customStyle="1">
    <w:name w:val="a3"/>
    <w:basedOn w:val="994"/>
    <w:next w:val="991"/>
    <w:pPr>
      <w:numPr>
        <w:ilvl w:val="0"/>
        <w:numId w:val="0"/>
      </w:numPr>
      <w:spacing w:before="60" w:after="240" w:line="250" w:lineRule="exact"/>
      <w:tabs>
        <w:tab w:val="num" w:pos="0" w:leader="none"/>
      </w:tabs>
    </w:pPr>
    <w:rPr>
      <w:rFonts w:eastAsia="MS Mincho" w:cs="Times New Roman"/>
      <w:sz w:val="22"/>
      <w:szCs w:val="20"/>
      <w:lang w:val="en-GB"/>
    </w:rPr>
  </w:style>
  <w:style w:type="paragraph" w:styleId="1106" w:customStyle="1">
    <w:name w:val="a4"/>
    <w:basedOn w:val="995"/>
    <w:next w:val="991"/>
    <w:pPr>
      <w:numPr>
        <w:ilvl w:val="0"/>
        <w:numId w:val="0"/>
      </w:numPr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sz w:val="20"/>
      <w:szCs w:val="20"/>
      <w:lang w:val="en-GB"/>
    </w:rPr>
  </w:style>
  <w:style w:type="paragraph" w:styleId="1107" w:customStyle="1">
    <w:name w:val="a5"/>
    <w:basedOn w:val="996"/>
    <w:next w:val="991"/>
    <w:pPr>
      <w:numPr>
        <w:ilvl w:val="0"/>
        <w:numId w:val="0"/>
      </w:numPr>
      <w:keepNext/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bCs w:val="0"/>
      <w:i w:val="0"/>
      <w:iCs w:val="0"/>
      <w:sz w:val="20"/>
      <w:szCs w:val="20"/>
      <w:lang w:val="en-GB"/>
    </w:rPr>
  </w:style>
  <w:style w:type="paragraph" w:styleId="1108" w:customStyle="1">
    <w:name w:val="a6"/>
    <w:basedOn w:val="997"/>
    <w:next w:val="991"/>
    <w:pPr>
      <w:numPr>
        <w:ilvl w:val="0"/>
        <w:numId w:val="0"/>
      </w:numPr>
      <w:keepNext/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bCs w:val="0"/>
      <w:sz w:val="20"/>
      <w:szCs w:val="20"/>
      <w:lang w:val="en-GB"/>
    </w:rPr>
  </w:style>
  <w:style w:type="paragraph" w:styleId="1109" w:customStyle="1">
    <w:name w:val="ANNEX"/>
    <w:basedOn w:val="991"/>
    <w:next w:val="991"/>
    <w:pPr>
      <w:jc w:val="center"/>
      <w:keepNext/>
      <w:pageBreakBefore/>
      <w:spacing w:after="760" w:line="310" w:lineRule="exact"/>
      <w:tabs>
        <w:tab w:val="num" w:pos="0" w:leader="none"/>
      </w:tabs>
    </w:pPr>
    <w:rPr>
      <w:rFonts w:ascii="Arial" w:hAnsi="Arial" w:eastAsia="MS Mincho" w:cs="Arial"/>
      <w:b/>
      <w:sz w:val="28"/>
      <w:szCs w:val="20"/>
      <w:lang w:val="en-GB"/>
    </w:rPr>
  </w:style>
  <w:style w:type="paragraph" w:styleId="1110" w:customStyle="1">
    <w:name w:val="Содержимое таблицы"/>
    <w:basedOn w:val="991"/>
    <w:pPr>
      <w:suppressLineNumbers/>
    </w:pPr>
  </w:style>
  <w:style w:type="paragraph" w:styleId="1111" w:customStyle="1">
    <w:name w:val="Заголовок таблицы"/>
    <w:basedOn w:val="1110"/>
    <w:pPr>
      <w:jc w:val="center"/>
    </w:pPr>
    <w:rPr>
      <w:b/>
      <w:bCs/>
    </w:rPr>
  </w:style>
  <w:style w:type="table" w:styleId="1112">
    <w:name w:val="Table Grid"/>
    <w:basedOn w:val="9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13">
    <w:name w:val="annotation reference"/>
    <w:uiPriority w:val="99"/>
    <w:semiHidden/>
    <w:unhideWhenUsed/>
    <w:rPr>
      <w:sz w:val="16"/>
      <w:szCs w:val="16"/>
    </w:rPr>
  </w:style>
  <w:style w:type="paragraph" w:styleId="1114">
    <w:name w:val="annotation text"/>
    <w:basedOn w:val="991"/>
    <w:link w:val="1115"/>
    <w:uiPriority w:val="99"/>
    <w:semiHidden/>
    <w:unhideWhenUsed/>
    <w:rPr>
      <w:sz w:val="20"/>
      <w:szCs w:val="20"/>
    </w:rPr>
  </w:style>
  <w:style w:type="character" w:styleId="1115" w:customStyle="1">
    <w:name w:val="Текст примечания Знак"/>
    <w:link w:val="1114"/>
    <w:uiPriority w:val="99"/>
    <w:semiHidden/>
    <w:rPr>
      <w:rFonts w:ascii="Calibri" w:hAnsi="Calibri" w:cs="Calibri"/>
      <w:lang w:eastAsia="zh-CN"/>
    </w:rPr>
  </w:style>
  <w:style w:type="paragraph" w:styleId="1116">
    <w:name w:val="annotation subject"/>
    <w:basedOn w:val="1114"/>
    <w:next w:val="1114"/>
    <w:link w:val="1117"/>
    <w:uiPriority w:val="99"/>
    <w:semiHidden/>
    <w:unhideWhenUsed/>
    <w:rPr>
      <w:b/>
      <w:bCs/>
    </w:rPr>
  </w:style>
  <w:style w:type="character" w:styleId="1117" w:customStyle="1">
    <w:name w:val="Тема примечания Знак"/>
    <w:link w:val="1116"/>
    <w:uiPriority w:val="99"/>
    <w:semiHidden/>
    <w:rPr>
      <w:rFonts w:ascii="Calibri" w:hAnsi="Calibri" w:cs="Calibri"/>
      <w:b/>
      <w:bCs/>
      <w:lang w:eastAsia="zh-CN"/>
    </w:rPr>
  </w:style>
  <w:style w:type="paragraph" w:styleId="1118">
    <w:name w:val="footnote text"/>
    <w:basedOn w:val="991"/>
    <w:link w:val="1119"/>
    <w:uiPriority w:val="99"/>
    <w:semiHidden/>
    <w:unhideWhenUsed/>
    <w:rPr>
      <w:sz w:val="20"/>
      <w:szCs w:val="20"/>
    </w:rPr>
  </w:style>
  <w:style w:type="character" w:styleId="1119" w:customStyle="1">
    <w:name w:val="Текст сноски Знак"/>
    <w:link w:val="1118"/>
    <w:uiPriority w:val="99"/>
    <w:semiHidden/>
    <w:rPr>
      <w:rFonts w:ascii="Calibri" w:hAnsi="Calibri" w:cs="Calibri"/>
      <w:lang w:eastAsia="zh-CN"/>
    </w:rPr>
  </w:style>
  <w:style w:type="character" w:styleId="1120">
    <w:name w:val="footnote reference"/>
    <w:uiPriority w:val="99"/>
    <w:semiHidden/>
    <w:unhideWhenUsed/>
    <w:rPr>
      <w:vertAlign w:val="superscript"/>
    </w:rPr>
  </w:style>
  <w:style w:type="character" w:styleId="1121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1122">
    <w:name w:val="Placeholder Text"/>
    <w:basedOn w:val="998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footer" Target="footer6.xml" /><Relationship Id="rId20" Type="http://schemas.openxmlformats.org/officeDocument/2006/relationships/footer" Target="footer7.xml" /><Relationship Id="rId21" Type="http://schemas.openxmlformats.org/officeDocument/2006/relationships/customXml" Target="../customXml/item1.xml" /><Relationship Id="rId22" Type="http://schemas.openxmlformats.org/officeDocument/2006/relationships/image" Target="media/image1.png"/><Relationship Id="rId23" Type="http://schemas.openxmlformats.org/officeDocument/2006/relationships/hyperlink" Target="kodeks://link/d?nd=1200114290&amp;point=mark=000000000000000000000000000000000000000000000000008PM0LV" TargetMode="External"/><Relationship Id="rId2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C80B-2E73-4EC3-846A-E3D9E01A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ISO 11612-2014 Система стандартов безопасности труда (ССБТ). Одежда для защиты от тепла и пламени. Общие требования и эксплуатационные характеристики</dc:title>
  <dc:subject/>
  <dc:creator>Костылева</dc:creator>
  <cp:keywords/>
  <cp:revision>45</cp:revision>
  <dcterms:created xsi:type="dcterms:W3CDTF">2022-10-24T13:29:00Z</dcterms:created>
  <dcterms:modified xsi:type="dcterms:W3CDTF">2023-04-03T08:14:10Z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Строганова</vt:lpwstr>
  </property>
</Properties>
</file>