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F5" w:rsidRDefault="00F877F5" w:rsidP="00F877F5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Сводка отзывов </w:t>
      </w:r>
    </w:p>
    <w:p w:rsidR="00A07F8E" w:rsidRDefault="00F877F5" w:rsidP="00A84E57">
      <w:pPr>
        <w:jc w:val="center"/>
        <w:rPr>
          <w:b/>
          <w:color w:val="000000"/>
          <w:lang w:val="kk-KZ"/>
        </w:rPr>
      </w:pPr>
      <w:r>
        <w:rPr>
          <w:b/>
          <w:bCs/>
        </w:rPr>
        <w:t xml:space="preserve">к проекту </w:t>
      </w:r>
      <w:r>
        <w:rPr>
          <w:b/>
        </w:rPr>
        <w:t xml:space="preserve">ГОСТ </w:t>
      </w:r>
      <w:r>
        <w:rPr>
          <w:b/>
          <w:bCs/>
        </w:rPr>
        <w:t>«</w:t>
      </w:r>
      <w:r w:rsidR="00A84E57">
        <w:rPr>
          <w:b/>
          <w:color w:val="000000"/>
          <w:lang w:val="kk-KZ"/>
        </w:rPr>
        <w:t>Уголь активированный золотосодержащий.</w:t>
      </w:r>
    </w:p>
    <w:p w:rsidR="00F877F5" w:rsidRDefault="00A84E57" w:rsidP="00A84E57">
      <w:pPr>
        <w:jc w:val="center"/>
        <w:rPr>
          <w:b/>
          <w:bCs/>
        </w:rPr>
      </w:pPr>
      <w:r>
        <w:rPr>
          <w:b/>
          <w:color w:val="000000"/>
          <w:lang w:val="kk-KZ"/>
        </w:rPr>
        <w:t xml:space="preserve"> Метод определения золота и серебра</w:t>
      </w:r>
      <w:r w:rsidR="00F877F5">
        <w:rPr>
          <w:b/>
          <w:bCs/>
        </w:rPr>
        <w:t>»</w:t>
      </w:r>
    </w:p>
    <w:p w:rsidR="00F877F5" w:rsidRDefault="00F877F5" w:rsidP="00F877F5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10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2633"/>
        <w:gridCol w:w="7772"/>
        <w:gridCol w:w="3984"/>
        <w:gridCol w:w="8087"/>
        <w:gridCol w:w="8094"/>
      </w:tblGrid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5" w:rsidRDefault="00F877F5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</w:t>
            </w:r>
          </w:p>
          <w:p w:rsidR="00F877F5" w:rsidRDefault="00F877F5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п/п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Замечания или предложения по проекту стандарта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877F5" w:rsidTr="003A5A84">
        <w:trPr>
          <w:gridAfter w:val="2"/>
          <w:wAfter w:w="2563" w:type="pct"/>
        </w:trPr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5" w:rsidRDefault="00F877F5">
            <w:pPr>
              <w:spacing w:before="120" w:after="120"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Государственные органы</w:t>
            </w: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 w:rsidP="005274D0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EC487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1. </w:t>
            </w:r>
            <w:r w:rsidR="00D918B1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</w:p>
          <w:p w:rsidR="00D918B1" w:rsidRPr="00D918B1" w:rsidRDefault="00D918B1">
            <w:pPr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№25-12/02-2736 от 26.06.2022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Pr="005274D0" w:rsidRDefault="00F877F5" w:rsidP="005274D0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D918B1" w:rsidP="00A4092C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Ссылка указанная в п.п. 5.1.2 главы 5 ГОСТ 12.1.007  считаем, не корректной в связи с отсутствием в данном ГОСТ-е предельно допустимых концентраций.</w:t>
            </w:r>
          </w:p>
          <w:p w:rsidR="00D918B1" w:rsidRPr="00D918B1" w:rsidRDefault="00D918B1" w:rsidP="00D918B1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Кроме того, следует по тексту слова «в течении» заменить на слова «в течение».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D63B02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Pr="00B94BB7" w:rsidRDefault="00F877F5" w:rsidP="005274D0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 xml:space="preserve">2. </w:t>
            </w:r>
            <w:r w:rsidR="00DB7FD4">
              <w:rPr>
                <w:b/>
                <w:spacing w:val="-3"/>
                <w:lang w:val="kk-KZ"/>
              </w:rPr>
              <w:t>Комитет санитарно-эпидемиологического контроля Министерства здравоохранения Республики Казахстан</w:t>
            </w:r>
          </w:p>
          <w:p w:rsidR="00DB7FD4" w:rsidRPr="00DB7FD4" w:rsidRDefault="00DB7FD4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№24-02-24/23617 от 28.06.2022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 w:rsidP="005274D0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5" w:rsidRDefault="00F877F5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Pr="00DB7FD4" w:rsidRDefault="00CE4CDC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</w:tr>
      <w:tr w:rsidR="009F126E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112B17" w:rsidRDefault="009F126E" w:rsidP="00112B1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6E" w:rsidRDefault="009F126E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9F126E" w:rsidRDefault="009F126E" w:rsidP="009F126E">
            <w:pPr>
              <w:spacing w:before="120" w:after="120"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F126E">
              <w:rPr>
                <w:b/>
                <w:sz w:val="28"/>
                <w:szCs w:val="28"/>
                <w:u w:val="single"/>
              </w:rPr>
              <w:t>Национальная палата предпринимателей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F126E">
              <w:rPr>
                <w:b/>
                <w:sz w:val="28"/>
                <w:szCs w:val="28"/>
                <w:u w:val="single"/>
              </w:rPr>
              <w:t>Республики Казахстан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9F126E" w:rsidRDefault="009F126E" w:rsidP="009F126E">
            <w:pPr>
              <w:spacing w:before="120" w:after="120"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F68E0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E0" w:rsidRPr="00D63B02" w:rsidRDefault="006F68E0" w:rsidP="00112B17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E0" w:rsidRDefault="006F68E0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E0" w:rsidRPr="006F68E0" w:rsidRDefault="00EC4878" w:rsidP="006F68E0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 xml:space="preserve">3 . </w:t>
            </w:r>
            <w:r w:rsidR="006F68E0" w:rsidRPr="006F68E0">
              <w:rPr>
                <w:b/>
                <w:spacing w:val="-3"/>
                <w:lang w:val="kk-KZ"/>
              </w:rPr>
              <w:t>Национальная палата предпринимтелей Республики Казахстан</w:t>
            </w:r>
          </w:p>
          <w:p w:rsidR="006F68E0" w:rsidRPr="006F68E0" w:rsidRDefault="006F68E0" w:rsidP="006F68E0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F68E0">
              <w:rPr>
                <w:b/>
                <w:spacing w:val="-3"/>
                <w:lang w:val="kk-KZ"/>
              </w:rPr>
              <w:t>№08576 от 08.07.2022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E0" w:rsidRPr="009F126E" w:rsidRDefault="006F68E0" w:rsidP="009F126E">
            <w:pPr>
              <w:spacing w:before="120" w:after="120"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126E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D63B02" w:rsidRDefault="009F126E" w:rsidP="005274D0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6E" w:rsidRDefault="009F126E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9F126E" w:rsidRDefault="006F68E0" w:rsidP="009F126E">
            <w:pPr>
              <w:spacing w:before="120" w:after="120" w:line="256" w:lineRule="auto"/>
              <w:jc w:val="center"/>
              <w:rPr>
                <w:szCs w:val="28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6E" w:rsidRPr="009F126E" w:rsidRDefault="009F126E" w:rsidP="009F126E">
            <w:pPr>
              <w:spacing w:before="120" w:after="120"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877F5" w:rsidTr="003A5A84">
        <w:trPr>
          <w:gridAfter w:val="2"/>
          <w:wAfter w:w="2563" w:type="pct"/>
        </w:trPr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F5" w:rsidRDefault="00F877F5">
            <w:pPr>
              <w:spacing w:before="120" w:after="120" w:line="25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Общественные организации и объединения</w:t>
            </w: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 w:rsidP="005274D0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E" w:rsidRDefault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 xml:space="preserve">4. </w:t>
            </w:r>
            <w:r w:rsidR="003E5DAE">
              <w:rPr>
                <w:b/>
                <w:spacing w:val="-3"/>
                <w:lang w:val="kk-KZ"/>
              </w:rPr>
              <w:t xml:space="preserve">ОЮЛ «Союз промышленников и предпринимателей </w:t>
            </w:r>
          </w:p>
          <w:p w:rsidR="00F877F5" w:rsidRDefault="003E5DAE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«Национальная индустриальная палата Казахстана»</w:t>
            </w:r>
          </w:p>
          <w:p w:rsidR="003E5DAE" w:rsidRPr="003E5DAE" w:rsidRDefault="003E5DAE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lastRenderedPageBreak/>
              <w:t>№128 от 23.06.2022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</w:tr>
      <w:tr w:rsidR="00F877F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 w:rsidP="005274D0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AE" w:rsidRPr="003E5DAE" w:rsidRDefault="003E5DAE" w:rsidP="003E5DAE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F5" w:rsidRDefault="00F877F5">
            <w:pPr>
              <w:spacing w:line="256" w:lineRule="auto"/>
              <w:jc w:val="center"/>
            </w:pPr>
          </w:p>
        </w:tc>
      </w:tr>
      <w:tr w:rsidR="00916DCA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112B17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916DCA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EC4878" w:rsidP="00916D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5. </w:t>
            </w:r>
            <w:r w:rsidR="00916DCA">
              <w:rPr>
                <w:b/>
                <w:lang w:val="kk-KZ"/>
              </w:rPr>
              <w:t>ОЮЛ «Евразийская промышленная организация»</w:t>
            </w:r>
          </w:p>
          <w:p w:rsidR="00916DCA" w:rsidRPr="00EA2254" w:rsidRDefault="00916DCA" w:rsidP="00916D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№20-0907 от 30.06.2022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916DCA">
            <w:pPr>
              <w:spacing w:line="256" w:lineRule="auto"/>
              <w:jc w:val="center"/>
            </w:pPr>
          </w:p>
        </w:tc>
      </w:tr>
      <w:tr w:rsidR="00916DCA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916DC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916DCA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Pr="003A5A84" w:rsidRDefault="00916DCA" w:rsidP="00916DCA">
            <w:pPr>
              <w:jc w:val="center"/>
              <w:rPr>
                <w:lang w:val="kk-KZ"/>
              </w:rPr>
            </w:pPr>
            <w:r w:rsidRPr="003A5A84">
              <w:rPr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CA" w:rsidRDefault="00916DCA" w:rsidP="00916DCA">
            <w:pPr>
              <w:spacing w:line="256" w:lineRule="auto"/>
              <w:jc w:val="center"/>
            </w:pPr>
          </w:p>
        </w:tc>
      </w:tr>
      <w:tr w:rsidR="00C81A0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916DCA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Pr="00C81A05" w:rsidRDefault="00EC4878" w:rsidP="00916D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6 . </w:t>
            </w:r>
            <w:r w:rsidR="00C81A05" w:rsidRPr="00C81A05">
              <w:rPr>
                <w:b/>
                <w:lang w:val="kk-KZ"/>
              </w:rPr>
              <w:t>ОЮЛ «Республиканская ассоциация горнодобывающих и горно-металлургических предприятий»</w:t>
            </w:r>
          </w:p>
          <w:p w:rsidR="00C81A05" w:rsidRPr="00C81A05" w:rsidRDefault="00C81A05" w:rsidP="00916DCA">
            <w:pPr>
              <w:jc w:val="center"/>
              <w:rPr>
                <w:b/>
                <w:lang w:val="kk-KZ"/>
              </w:rPr>
            </w:pPr>
            <w:r w:rsidRPr="00C81A05">
              <w:rPr>
                <w:b/>
                <w:lang w:val="kk-KZ"/>
              </w:rPr>
              <w:t>№1800/АГМП от 05.08.2022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916DCA">
            <w:pPr>
              <w:spacing w:line="256" w:lineRule="auto"/>
              <w:jc w:val="center"/>
            </w:pPr>
          </w:p>
        </w:tc>
      </w:tr>
      <w:tr w:rsidR="00C81A05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C81A05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C81A05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Pr="003A5A84" w:rsidRDefault="00C81A05" w:rsidP="00C81A05">
            <w:pPr>
              <w:jc w:val="center"/>
              <w:rPr>
                <w:lang w:val="kk-KZ"/>
              </w:rPr>
            </w:pPr>
            <w:r w:rsidRPr="003A5A84">
              <w:rPr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5" w:rsidRDefault="00C81A05" w:rsidP="00C81A05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C81A05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C81A05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A16914" w:rsidRDefault="00EC4878" w:rsidP="00C81A05">
            <w:pPr>
              <w:jc w:val="center"/>
              <w:rPr>
                <w:b/>
                <w:lang w:val="kk-KZ"/>
              </w:rPr>
            </w:pPr>
            <w:r w:rsidRPr="00A16914">
              <w:rPr>
                <w:b/>
                <w:lang w:val="kk-KZ"/>
              </w:rPr>
              <w:t>7. ОЮЛ «Союз промышленников и предпринимателей «Национальная индустриальная палата Казахстана»</w:t>
            </w:r>
          </w:p>
          <w:p w:rsidR="00EC4878" w:rsidRPr="003A5A84" w:rsidRDefault="00EC4878" w:rsidP="00C81A05">
            <w:pPr>
              <w:jc w:val="center"/>
              <w:rPr>
                <w:lang w:val="kk-KZ"/>
              </w:rPr>
            </w:pPr>
            <w:r w:rsidRPr="00A16914">
              <w:rPr>
                <w:b/>
                <w:lang w:val="kk-KZ"/>
              </w:rPr>
              <w:t>№128 от 28.06.2022 г.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C81A05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EC4878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 w:rsidRPr="00EC4878">
              <w:rPr>
                <w:b/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78" w:rsidRDefault="00EC4878" w:rsidP="00EC4878">
            <w:pPr>
              <w:spacing w:before="120" w:after="120" w:line="25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Технические комитеты по стандартизации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  <w:bookmarkStart w:id="0" w:name="_Hlk397423641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8</w:t>
            </w:r>
            <w:r w:rsidR="00EC4878">
              <w:rPr>
                <w:b/>
                <w:spacing w:val="-3"/>
                <w:lang w:val="kk-KZ"/>
              </w:rPr>
              <w:t xml:space="preserve">. </w:t>
            </w:r>
            <w:r w:rsidR="00EC4878" w:rsidRPr="006F68E0">
              <w:rPr>
                <w:b/>
                <w:spacing w:val="-3"/>
                <w:lang w:val="kk-KZ"/>
              </w:rPr>
              <w:t>ТК 91 «Химия» на базе ТОО «</w:t>
            </w:r>
            <w:r w:rsidR="00EC4878" w:rsidRPr="006F68E0">
              <w:rPr>
                <w:b/>
                <w:spacing w:val="-3"/>
                <w:lang w:val="en-US"/>
              </w:rPr>
              <w:t>Kazakhstan Business Solution</w:t>
            </w:r>
            <w:r w:rsidR="00EC4878" w:rsidRPr="006F68E0">
              <w:rPr>
                <w:b/>
                <w:spacing w:val="-3"/>
                <w:lang w:val="kk-KZ"/>
              </w:rPr>
              <w:t>»</w:t>
            </w:r>
          </w:p>
          <w:p w:rsidR="00EC4878" w:rsidRPr="006F68E0" w:rsidRDefault="00EC4878" w:rsidP="00EC4878">
            <w:pPr>
              <w:spacing w:line="256" w:lineRule="auto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№558ТК-91 от 28.06.2022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bookmarkEnd w:id="0"/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E5DAE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78" w:rsidRDefault="00EC4878" w:rsidP="00EC4878">
            <w:pPr>
              <w:spacing w:before="120" w:after="120" w:line="25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Организации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9</w:t>
            </w:r>
            <w:r w:rsidR="00EC4878">
              <w:rPr>
                <w:b/>
                <w:spacing w:val="-3"/>
                <w:lang w:val="kk-KZ"/>
              </w:rPr>
              <w:t>. АО «Алматинские электрические станции»</w:t>
            </w:r>
          </w:p>
          <w:p w:rsidR="00EC4878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№08-2568 от 16.06.2022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1D42E6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10</w:t>
            </w:r>
            <w:r w:rsidR="00EC4878">
              <w:rPr>
                <w:b/>
                <w:spacing w:val="-3"/>
                <w:lang w:val="kk-KZ"/>
              </w:rPr>
              <w:t xml:space="preserve">. </w:t>
            </w:r>
            <w:r w:rsidR="00EC4878" w:rsidRPr="001D42E6">
              <w:rPr>
                <w:b/>
                <w:spacing w:val="-3"/>
                <w:lang w:val="kk-KZ"/>
              </w:rPr>
              <w:t xml:space="preserve">АО «Национальный центр экспертизы и </w:t>
            </w:r>
            <w:r w:rsidR="003B50D5">
              <w:rPr>
                <w:b/>
                <w:spacing w:val="-3"/>
                <w:lang w:val="kk-KZ"/>
              </w:rPr>
              <w:t>сертификации</w:t>
            </w:r>
            <w:r w:rsidR="00EC4878" w:rsidRPr="001D42E6">
              <w:rPr>
                <w:b/>
                <w:spacing w:val="-3"/>
                <w:lang w:val="kk-KZ"/>
              </w:rPr>
              <w:t>»</w:t>
            </w:r>
          </w:p>
          <w:p w:rsidR="00EC4878" w:rsidRPr="001D42E6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 w:rsidRPr="001D42E6">
              <w:rPr>
                <w:b/>
                <w:spacing w:val="-3"/>
                <w:lang w:val="kk-KZ"/>
              </w:rPr>
              <w:t>№ВП1-СИО/1002</w:t>
            </w:r>
            <w:r>
              <w:rPr>
                <w:b/>
                <w:spacing w:val="-3"/>
                <w:lang w:val="kk-KZ"/>
              </w:rPr>
              <w:t xml:space="preserve"> от </w:t>
            </w:r>
            <w:r w:rsidR="003B50D5">
              <w:rPr>
                <w:b/>
                <w:spacing w:val="-3"/>
                <w:lang w:val="kk-KZ"/>
              </w:rPr>
              <w:t>20</w:t>
            </w:r>
            <w:r>
              <w:rPr>
                <w:b/>
                <w:spacing w:val="-3"/>
                <w:lang w:val="kk-KZ"/>
              </w:rPr>
              <w:t>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1D42E6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11</w:t>
            </w:r>
            <w:r w:rsidR="00EC4878">
              <w:rPr>
                <w:b/>
                <w:spacing w:val="-3"/>
                <w:lang w:val="kk-KZ"/>
              </w:rPr>
              <w:t>. РГП на ПХВ «Казахстанский институт стандартизации и метрологии»</w:t>
            </w:r>
          </w:p>
          <w:p w:rsidR="00EC4878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№01-21.И-01-762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12</w:t>
            </w:r>
            <w:r w:rsidR="00EC4878">
              <w:rPr>
                <w:b/>
                <w:spacing w:val="-3"/>
                <w:lang w:val="kk-KZ"/>
              </w:rPr>
              <w:t>. АО «Шубарколь Комир»</w:t>
            </w:r>
          </w:p>
          <w:p w:rsidR="00EC4878" w:rsidRPr="0062610F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 xml:space="preserve">№014-2268 от 21.06.2022 г.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E5DAE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13</w:t>
            </w:r>
            <w:r w:rsidR="00EC4878">
              <w:rPr>
                <w:b/>
                <w:spacing w:val="-3"/>
                <w:lang w:val="kk-KZ"/>
              </w:rPr>
              <w:t xml:space="preserve">. </w:t>
            </w:r>
            <w:r w:rsidR="00EC4878" w:rsidRPr="003E5DAE">
              <w:rPr>
                <w:b/>
                <w:spacing w:val="-3"/>
                <w:lang w:val="kk-KZ"/>
              </w:rPr>
              <w:t>ТОО «Kazakhmys energy»</w:t>
            </w:r>
          </w:p>
          <w:p w:rsidR="00EC4878" w:rsidRPr="003E5DAE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 w:rsidRPr="003E5DAE">
              <w:rPr>
                <w:b/>
                <w:spacing w:val="-3"/>
                <w:lang w:val="kk-KZ"/>
              </w:rPr>
              <w:t>№01-15/683 от 16.06.2022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E5DAE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14</w:t>
            </w:r>
            <w:r w:rsidR="00EC4878">
              <w:rPr>
                <w:b/>
                <w:spacing w:val="-3"/>
                <w:lang w:val="kk-KZ"/>
              </w:rPr>
              <w:t>. ТОО «Караганда энергоцентр»</w:t>
            </w:r>
          </w:p>
          <w:p w:rsidR="00EC4878" w:rsidRPr="004E3CE0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№03-1600 от 28.06.2022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4E3CE0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15</w:t>
            </w:r>
            <w:r w:rsidR="00EC4878">
              <w:rPr>
                <w:b/>
                <w:spacing w:val="-3"/>
                <w:lang w:val="kk-KZ"/>
              </w:rPr>
              <w:t>. АО «Каражыра»</w:t>
            </w:r>
          </w:p>
          <w:p w:rsidR="00EC4878" w:rsidRPr="004E3CE0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№01-21/723 от 10.06.2022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4E3CE0" w:rsidRDefault="00EC4878" w:rsidP="00EC4878">
            <w:pPr>
              <w:spacing w:line="256" w:lineRule="auto"/>
              <w:jc w:val="center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Замечаний и предложений нет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484A84" w:rsidRDefault="00A16914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>
              <w:rPr>
                <w:b/>
                <w:spacing w:val="-3"/>
                <w:lang w:val="kk-KZ"/>
              </w:rPr>
              <w:t>16</w:t>
            </w:r>
            <w:r w:rsidR="00EC4878">
              <w:rPr>
                <w:b/>
                <w:spacing w:val="-3"/>
                <w:lang w:val="kk-KZ"/>
              </w:rPr>
              <w:t xml:space="preserve">. </w:t>
            </w:r>
            <w:r w:rsidR="00EC4878" w:rsidRPr="00484A84">
              <w:rPr>
                <w:b/>
                <w:spacing w:val="-3"/>
                <w:lang w:val="kk-KZ"/>
              </w:rPr>
              <w:t>РГП «НЦ КПМС РК» «ВНИИцветмет» (МТК 504 «Цинк, свинец»)</w:t>
            </w:r>
          </w:p>
          <w:p w:rsidR="00EC4878" w:rsidRPr="00484A84" w:rsidRDefault="00EC4878" w:rsidP="00EC4878">
            <w:pPr>
              <w:spacing w:line="256" w:lineRule="auto"/>
              <w:jc w:val="center"/>
              <w:rPr>
                <w:b/>
                <w:spacing w:val="-3"/>
                <w:lang w:val="kk-KZ"/>
              </w:rPr>
            </w:pPr>
            <w:r w:rsidRPr="00484A84">
              <w:rPr>
                <w:b/>
                <w:spacing w:val="-3"/>
                <w:lang w:val="kk-KZ"/>
              </w:rPr>
              <w:t xml:space="preserve">№22-25-175/22 от 29.06.2022 г.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484A84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Предисловие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Второй абзац изложить в соответствии с требованиями изменения №2 ГОСТ 1.5-2001. </w:t>
            </w:r>
          </w:p>
          <w:p w:rsidR="00EC4878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Взамен «1 Подготовлен» изложить «1 Разработан» в соответствии с требованиями п.3.3.3 ГОСТ 1.5-2001. Текст проекта стандарта «на основе собственного аутентичного перевода на русский язык международного стандарта , указанного в пункте 4» исключить, т.к. указанный в разделе 4 СТ РК ГОСТ Р 50279.2-2008 «Материалы лакокрасочные. Методы определения содержания металлов. Приготовление кислых эктсрактов из высушенных лакокрасочных пленок» никакого отношения к проекту стандарта не имеет. Проект стандарта разрабатывается с учетом требований методики выполнения измерений №039-2017/</w:t>
            </w:r>
            <w:r>
              <w:rPr>
                <w:spacing w:val="-3"/>
                <w:lang w:val="en-US"/>
              </w:rPr>
              <w:t>KZ</w:t>
            </w:r>
            <w:r w:rsidRPr="00B94BB7">
              <w:rPr>
                <w:spacing w:val="-3"/>
              </w:rPr>
              <w:t>.</w:t>
            </w:r>
            <w:r>
              <w:rPr>
                <w:spacing w:val="-3"/>
                <w:lang w:val="kk-KZ"/>
              </w:rPr>
              <w:t>07.00.03692-2018 «Методика выполнения измерений массовой доли золота и серебра в углях активированных пробирно-гравиметрическим методом», которая, в свою очередь, разработана межгосударственным техническим комитетом по стандартизации МТК 504 «Цинк,свинец» и которая представлена в РГП «КазСтандарт» на основании письма ВНИИцветмета №22-25-303/21 от 26.11.2021 г.</w:t>
            </w:r>
          </w:p>
          <w:p w:rsidR="00EC4878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Раздел 4 исключить, т.к. указанный в разделе СТ РК ГОСТ Р 50279.2-2008 «Материалы лакокрасочные.  Методы определения содержания металлов. Приготовление кислых экстрактов из высушенных </w:t>
            </w:r>
            <w:r>
              <w:rPr>
                <w:spacing w:val="-3"/>
                <w:lang w:val="kk-KZ"/>
              </w:rPr>
              <w:lastRenderedPageBreak/>
              <w:t>лакокрасочных пленок» никакого отношения к проекту стандарта не имеет (см. выше).</w:t>
            </w:r>
          </w:p>
          <w:p w:rsidR="00EC4878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Абзац «В случае пересмотра ... » изложить в соответствии с требованиями изменения №2 ГОСТ 1.5-2001.</w:t>
            </w:r>
          </w:p>
          <w:p w:rsidR="00EC4878" w:rsidRPr="009A2174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lastRenderedPageBreak/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FE0140" w:rsidRDefault="00EC4878" w:rsidP="00EC4878">
            <w:pPr>
              <w:pStyle w:val="a8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9B6C81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1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9B6C81" w:rsidRDefault="00EC4878" w:rsidP="00EC4878">
            <w:pPr>
              <w:spacing w:line="256" w:lineRule="auto"/>
              <w:ind w:firstLine="362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Изложить в редакции «Настоящий стандарт распространяется на уголь активированный золотосодержащий и устанавливает пробирно-гравиметрический метод определения массовой доли золота от 15,0 до 10000,0 млн </w:t>
            </w:r>
            <w:r>
              <w:rPr>
                <w:spacing w:val="-3"/>
                <w:vertAlign w:val="superscript"/>
                <w:lang w:val="kk-KZ"/>
              </w:rPr>
              <w:t>-1</w:t>
            </w:r>
            <w:r>
              <w:rPr>
                <w:spacing w:val="-3"/>
                <w:lang w:val="kk-KZ"/>
              </w:rPr>
              <w:t xml:space="preserve"> и серебра от 10,0 до 3000,0 млн </w:t>
            </w:r>
            <w:r>
              <w:rPr>
                <w:spacing w:val="-3"/>
                <w:vertAlign w:val="superscript"/>
                <w:lang w:val="kk-KZ"/>
              </w:rPr>
              <w:t>-1</w:t>
            </w:r>
            <w:r>
              <w:rPr>
                <w:spacing w:val="-3"/>
                <w:lang w:val="kk-KZ"/>
              </w:rPr>
              <w:t xml:space="preserve"> 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9B6C81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963ED4">
              <w:rPr>
                <w:spacing w:val="-3"/>
                <w:lang w:val="kk-KZ"/>
              </w:rPr>
              <w:t>ГОСТ 12.0.004-2015 заменить на 12.0.004-90, т.к отсутствует дата введения нового стандарта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ГОСТ 10178-85 заменить на ГОСТ  31108-2020 согласно приказу Комитета технического регулирования и метрологии от 17 мая 2021 г. №165-НҚ(введен на территории РК с 01 июля 2021 г. с переходным периодом до 01.07.2022 г.) и также заменить далее по тексту проекта стандарта.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  </w:t>
            </w:r>
            <w:r w:rsidRPr="00963ED4">
              <w:rPr>
                <w:spacing w:val="-3"/>
                <w:lang w:val="kk-KZ"/>
              </w:rPr>
              <w:t>Дополнить абзацем «ГОСТ 5100-85 Сода кальцинированная техническая. Технические условия»</w:t>
            </w:r>
          </w:p>
          <w:p w:rsidR="00EC4878" w:rsidRPr="009B6C8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Примечание к разделу 2 изложить в соответствии с требованиями изменения №2 ГОСТ 1.5-2001.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C2CA1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 w:rsidRPr="003C2CA1">
              <w:rPr>
                <w:lang w:val="kk-KZ"/>
              </w:rPr>
              <w:t xml:space="preserve">Раздел 3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Перед разделом «3 Сущность метода» ввести раздел «3 Термины и определения», который изложить в редакции «В настоящем стандарте применены термины по ГОСТ ИСО 5725-1 и рекомендациям по межгосударственной стандартизаций</w:t>
            </w:r>
            <w:r w:rsidRPr="003E6D1E">
              <w:rPr>
                <w:spacing w:val="-3"/>
              </w:rPr>
              <w:t xml:space="preserve"> [1]</w:t>
            </w:r>
            <w:r w:rsidRPr="003E6D1E">
              <w:rPr>
                <w:spacing w:val="-3"/>
                <w:lang w:val="kk-KZ"/>
              </w:rPr>
              <w:t>»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 xml:space="preserve">Раздел 2 дополнить ГОСТ 5725-1-2003, а раздел «Библиография» дополнить рекомендациями </w:t>
            </w:r>
            <w:r w:rsidRPr="003E6D1E">
              <w:rPr>
                <w:spacing w:val="-3"/>
              </w:rPr>
              <w:t>[1]</w:t>
            </w:r>
            <w:r w:rsidRPr="003E6D1E">
              <w:rPr>
                <w:spacing w:val="-3"/>
                <w:lang w:val="kk-KZ"/>
              </w:rPr>
              <w:t xml:space="preserve"> Рекомендации по межгосударственной стандартизации </w:t>
            </w:r>
            <w:bookmarkStart w:id="1" w:name="_Hlk108364017"/>
            <w:r w:rsidRPr="003E6D1E">
              <w:rPr>
                <w:spacing w:val="-3"/>
                <w:lang w:val="kk-KZ"/>
              </w:rPr>
              <w:t xml:space="preserve">РМГ 61-2010 </w:t>
            </w:r>
            <w:bookmarkEnd w:id="1"/>
            <w:r w:rsidRPr="003E6D1E">
              <w:rPr>
                <w:spacing w:val="-3"/>
                <w:lang w:val="kk-KZ"/>
              </w:rPr>
              <w:t>Государственная система обеспечения единства измерений. Показатели точности, правильности, прецизионности методик количественного химического анализа. Методы оценки.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 xml:space="preserve">Раздел «Сущность метода» перенести после раздела «Требования безопасности».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63093B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4 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Раздел 4 «Отбор проб» переименовать в раздел «4 Общие требования», т.к в разделе проекта стандарта по факту ничего не говорится про отбор проб.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 xml:space="preserve">В общих требованиях обьязательно сделать ссылку и изложить про отбор и подготовку проб угля активированного золотосодержащего. 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В пункте 4.2 редакцию «... метода анализа, установленного настоящей методикой» изложить в редакции «... метода анализа установленного настоящим стандартом»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Пункт 4.3 в данной редакции исключить из раздела, т.к. не имеет отношения к отбору проб, и перенести далее по тексту стандарта в конец, а сам порядок контроля точности изложить в рекомендуемом приложении А.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В пункте 4.3 изложить в редакции «При проведении анализа применяют мерную лабораторную стеклянную посуду не ниже 2 класса точности».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5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9E6FBE">
              <w:rPr>
                <w:spacing w:val="-3"/>
                <w:lang w:val="kk-KZ"/>
              </w:rPr>
              <w:t>Требования безопасности, квалификационные требования, и условия выполнения измерений рекомендуем разделиь на разделы «5 Требования безопасности и охраны окружающей среды», который дополнить требованиями к охране окружающей среды, а также разделы «7 Требования к квалификации персонала» и «8 Условия выполнения измерений» которые пойдут после сущности метода.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 xml:space="preserve">Пункты 8.1 и 8.2. В экспликации к формулам (1) и (2) заменить обозначение «т» на </w:t>
            </w:r>
            <w:r w:rsidRPr="00E80551">
              <w:rPr>
                <w:i/>
                <w:spacing w:val="-3"/>
                <w:lang w:val="kk-KZ"/>
              </w:rPr>
              <w:t>«т»</w:t>
            </w:r>
            <w:r w:rsidRPr="00E80551">
              <w:rPr>
                <w:spacing w:val="-3"/>
                <w:lang w:val="kk-KZ"/>
              </w:rPr>
              <w:t xml:space="preserve">  как в самих формулах.</w:t>
            </w:r>
          </w:p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>Пункт 8.5 Таблица 1</w:t>
            </w:r>
          </w:p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 xml:space="preserve">В межгосударственном стандарте не может диктовать предел внутрилабораторной прецизионности, т.к он зависит от работы испытательных лабораторий и в разных лабораториях может быть свой. </w:t>
            </w:r>
          </w:p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 xml:space="preserve">Предлагаем колонку 4 озаглавить «Предел воспроизводимости (значение допускаемого расхождения между двумя результатами анализа, полученные в условиях воспроизводимости) </w:t>
            </w:r>
            <w:r w:rsidRPr="00E80551">
              <w:rPr>
                <w:spacing w:val="-3"/>
                <w:lang w:val="en-US"/>
              </w:rPr>
              <w:t>R</w:t>
            </w:r>
            <w:r w:rsidRPr="00E80551">
              <w:rPr>
                <w:spacing w:val="-3"/>
                <w:lang w:val="kk-KZ"/>
              </w:rPr>
              <w:t xml:space="preserve">», а числовые значения в колонке 4 оставить без изменения. При этом добавить по тексту проекта стандарта пункт, касающийся предела воспроизводимости </w:t>
            </w:r>
            <w:r w:rsidRPr="00E80551">
              <w:rPr>
                <w:spacing w:val="-3"/>
                <w:lang w:val="en-US"/>
              </w:rPr>
              <w:t>R</w:t>
            </w:r>
            <w:r w:rsidRPr="00E80551">
              <w:rPr>
                <w:spacing w:val="-3"/>
                <w:lang w:val="kk-KZ"/>
              </w:rPr>
              <w:t>.</w:t>
            </w:r>
          </w:p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>Текст в колонке 2 таблицы изложить в соответствии с требованиями п. 4.5.18 ГОСТ 1.5-2001.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E80551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E80551">
              <w:rPr>
                <w:spacing w:val="-3"/>
                <w:lang w:val="kk-KZ"/>
              </w:rPr>
              <w:t>Раздел 9 «Контроль точности результатов» перенести в рекомендуемое приложение А, которое дополнить контролем воспроизводимости результатов анализа согласно замечанию.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10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Первый абзац раздела отредактировать, т.к разработчику необходимо помнить, что он разрабатывает уже проект стандарта и ранее применяемые термины в МВИ не употреблять по тексту проекта (например, «методика», «приписанные» и др.)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В таблице 2, исходя из замечаний и предложений к таблице 1, колонку 4 озаглавить «Показатель воспроизводимости «среднее квадратичное отклонение возпроизводимости». Текст в колонке 2 изложить в соотв. С требованиями п. 4.5.18 ГОСТ 1.5-2001.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11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Устранить опечатку, например, «меода настоящ</w:t>
            </w:r>
            <w:r w:rsidRPr="00E824EE">
              <w:rPr>
                <w:spacing w:val="-3"/>
                <w:u w:val="single"/>
                <w:lang w:val="kk-KZ"/>
              </w:rPr>
              <w:t>ей</w:t>
            </w:r>
            <w:r>
              <w:rPr>
                <w:spacing w:val="-3"/>
                <w:lang w:val="kk-KZ"/>
              </w:rPr>
              <w:t xml:space="preserve"> стандарта», а также другие опчатки по тексту стандарта.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После раздела «Оформление результатов анализа», дополнить разделом «Контроль точности и стабильности результатов анализа».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77670D">
              <w:rPr>
                <w:spacing w:val="-3"/>
                <w:lang w:val="kk-KZ"/>
              </w:rPr>
              <w:t>Библиографические данные дополнить индексом УДК в соответствии с требованиями п.3.14.2 ГОСТ 1.5-2001.</w:t>
            </w:r>
            <w:r>
              <w:rPr>
                <w:spacing w:val="-3"/>
                <w:lang w:val="kk-KZ"/>
              </w:rPr>
              <w:t xml:space="preserve"> 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Раздел 13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Раздел «Содержание» с учетом замечаний и предложений изложить в редакции :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1 Область применения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2 Нормативные ссылки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3 Термины и определения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4 Общие требования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5 Требования к квалификации персонала 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6 Метод анализа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7 Условия измерений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8 Средства измерений, вспомогательное оборудование, материалы, реактивы и растворы 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9 Проведение анализа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10 Обработка результатов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11 Характеристики погрешности анализа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12 Оформление результатов анализа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lastRenderedPageBreak/>
              <w:t>13 Контроль точности и стабильности результатов анализа</w:t>
            </w:r>
          </w:p>
          <w:p w:rsidR="00EC4878" w:rsidRPr="003E6D1E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Приложение А (рекомендуемое)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 w:rsidRPr="003E6D1E">
              <w:rPr>
                <w:spacing w:val="-3"/>
                <w:lang w:val="kk-KZ"/>
              </w:rPr>
              <w:t>Бибилиография.</w:t>
            </w:r>
          </w:p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lastRenderedPageBreak/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Пояснительная </w:t>
            </w:r>
          </w:p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записка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 xml:space="preserve">Пункт 6 дополнить редакцией «..., зарегистрированной в реестре ГСИ РК 28.06.2018 г. под № </w:t>
            </w:r>
            <w:r>
              <w:rPr>
                <w:spacing w:val="-3"/>
                <w:lang w:val="en-US"/>
              </w:rPr>
              <w:t>KZ</w:t>
            </w:r>
            <w:r>
              <w:rPr>
                <w:spacing w:val="-3"/>
              </w:rPr>
              <w:t>.07.00.03692-2018</w:t>
            </w:r>
            <w:r>
              <w:rPr>
                <w:spacing w:val="-3"/>
                <w:lang w:val="kk-KZ"/>
              </w:rPr>
              <w:t>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877B68" w:rsidRDefault="00EC4878" w:rsidP="00EC4878">
            <w:pPr>
              <w:spacing w:line="256" w:lineRule="auto"/>
              <w:ind w:firstLine="362"/>
              <w:jc w:val="both"/>
              <w:rPr>
                <w:b/>
                <w:spacing w:val="-3"/>
                <w:lang w:val="kk-KZ"/>
              </w:rPr>
            </w:pPr>
            <w:r w:rsidRPr="00877B68">
              <w:rPr>
                <w:b/>
                <w:spacing w:val="-3"/>
                <w:lang w:val="kk-KZ"/>
              </w:rPr>
              <w:t>Дополнительные замечания к письму №22-25-175/22 от 29.06.2022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6, абзац 19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ind w:firstLine="362"/>
              <w:jc w:val="both"/>
              <w:rPr>
                <w:spacing w:val="-3"/>
                <w:lang w:val="kk-KZ"/>
              </w:rPr>
            </w:pPr>
            <w:r>
              <w:rPr>
                <w:spacing w:val="-3"/>
                <w:lang w:val="kk-KZ"/>
              </w:rPr>
              <w:t>Редакцию «... и 15</w:t>
            </w:r>
            <w:r>
              <w:rPr>
                <w:spacing w:val="-3"/>
              </w:rPr>
              <w:t xml:space="preserve"> %</w:t>
            </w:r>
            <w:r>
              <w:rPr>
                <w:spacing w:val="-3"/>
                <w:lang w:val="kk-KZ"/>
              </w:rPr>
              <w:t xml:space="preserve"> портландцемента марки не ниже 400 по ГОСТ 10178, ...» заменить на редакцию «... и 15 </w:t>
            </w:r>
            <w:r>
              <w:rPr>
                <w:spacing w:val="-3"/>
              </w:rPr>
              <w:t>%</w:t>
            </w:r>
            <w:r>
              <w:rPr>
                <w:spacing w:val="-3"/>
                <w:lang w:val="kk-KZ"/>
              </w:rPr>
              <w:t xml:space="preserve"> </w:t>
            </w:r>
            <w:bookmarkStart w:id="2" w:name="_Hlk109817843"/>
            <w:r>
              <w:rPr>
                <w:spacing w:val="-3"/>
                <w:lang w:val="kk-KZ"/>
              </w:rPr>
              <w:t>портландцемента типа не ниже ЦЕМ ІІ/А-ІІІ 42,5 Н по ГОСТ 31108</w:t>
            </w:r>
            <w:bookmarkEnd w:id="2"/>
            <w:r>
              <w:rPr>
                <w:spacing w:val="-3"/>
                <w:lang w:val="kk-KZ"/>
              </w:rPr>
              <w:t>, ...».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  <w:r>
              <w:t>Принято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A16914" w:rsidP="00EC487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  <w:r w:rsidR="00EC4878">
              <w:rPr>
                <w:b/>
                <w:lang w:val="kk-KZ"/>
              </w:rPr>
              <w:t>. АО «Майкубен ВЕСТ»</w:t>
            </w:r>
          </w:p>
          <w:p w:rsidR="00EC4878" w:rsidRPr="00EA2254" w:rsidRDefault="00EC4878" w:rsidP="00EC487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№413 от 16.06.2022 г.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</w:pP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Pr="003A5A84" w:rsidRDefault="00EC4878" w:rsidP="00EC48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Без замечаний и предложений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</w:pPr>
          </w:p>
        </w:tc>
      </w:tr>
      <w:tr w:rsidR="00EC4878" w:rsidTr="005274D0">
        <w:tc>
          <w:tcPr>
            <w:tcW w:w="2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78" w:rsidRDefault="00EC4878" w:rsidP="00EC4878">
            <w:pPr>
              <w:spacing w:before="120" w:after="120" w:line="25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ОПС и ИЛ</w:t>
            </w:r>
          </w:p>
        </w:tc>
        <w:tc>
          <w:tcPr>
            <w:tcW w:w="1281" w:type="pct"/>
          </w:tcPr>
          <w:p w:rsidR="00EC4878" w:rsidRDefault="00EC4878" w:rsidP="00EC4878">
            <w:pPr>
              <w:spacing w:after="160" w:line="259" w:lineRule="auto"/>
            </w:pPr>
          </w:p>
        </w:tc>
        <w:tc>
          <w:tcPr>
            <w:tcW w:w="1282" w:type="pct"/>
          </w:tcPr>
          <w:p w:rsidR="00EC4878" w:rsidRPr="00EA2254" w:rsidRDefault="00EC4878" w:rsidP="00EC48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Замечаний и предложений нет</w:t>
            </w:r>
          </w:p>
        </w:tc>
      </w:tr>
      <w:tr w:rsidR="00EC4878" w:rsidTr="003A5A84">
        <w:trPr>
          <w:gridAfter w:val="2"/>
          <w:wAfter w:w="2563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pStyle w:val="a8"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Отзывов не поступало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78" w:rsidRDefault="00EC4878" w:rsidP="00EC4878">
            <w:pPr>
              <w:spacing w:line="256" w:lineRule="auto"/>
              <w:jc w:val="center"/>
            </w:pPr>
          </w:p>
        </w:tc>
      </w:tr>
    </w:tbl>
    <w:p w:rsidR="001A55D9" w:rsidRDefault="001A55D9" w:rsidP="00F877F5"/>
    <w:p w:rsidR="00FE0140" w:rsidRPr="0087193B" w:rsidRDefault="00FE0140" w:rsidP="00FE0140">
      <w:pPr>
        <w:rPr>
          <w:b/>
          <w:lang w:val="kk-KZ"/>
        </w:rPr>
      </w:pPr>
      <w:r w:rsidRPr="0087193B">
        <w:rPr>
          <w:b/>
          <w:lang w:val="kk-KZ"/>
        </w:rPr>
        <w:t xml:space="preserve">                      Информация о согласовании проекта стандарта: </w:t>
      </w:r>
    </w:p>
    <w:p w:rsidR="00FE0140" w:rsidRPr="0087193B" w:rsidRDefault="00FE0140" w:rsidP="00FE0140">
      <w:pPr>
        <w:rPr>
          <w:lang w:val="kk-KZ"/>
        </w:rPr>
      </w:pPr>
    </w:p>
    <w:p w:rsidR="00FE0140" w:rsidRPr="0087193B" w:rsidRDefault="00FE0140" w:rsidP="00FE0140">
      <w:pPr>
        <w:rPr>
          <w:i/>
          <w:lang w:val="kk-KZ"/>
        </w:rPr>
      </w:pPr>
      <w:r>
        <w:rPr>
          <w:lang w:val="kk-KZ"/>
        </w:rPr>
        <w:t xml:space="preserve">                      </w:t>
      </w:r>
      <w:r w:rsidRPr="0087193B">
        <w:rPr>
          <w:i/>
          <w:lang w:val="kk-KZ"/>
        </w:rPr>
        <w:t xml:space="preserve">Общее количество отзывов: </w:t>
      </w:r>
      <w:r>
        <w:rPr>
          <w:i/>
          <w:lang w:val="kk-KZ"/>
        </w:rPr>
        <w:t>1</w:t>
      </w:r>
      <w:r w:rsidR="00A16914">
        <w:rPr>
          <w:i/>
          <w:lang w:val="kk-KZ"/>
        </w:rPr>
        <w:t>7</w:t>
      </w:r>
    </w:p>
    <w:p w:rsidR="00FE0140" w:rsidRPr="0087193B" w:rsidRDefault="00FE0140" w:rsidP="00FE0140">
      <w:pPr>
        <w:rPr>
          <w:i/>
          <w:lang w:val="kk-KZ"/>
        </w:rPr>
      </w:pPr>
      <w:r w:rsidRPr="0087193B">
        <w:rPr>
          <w:i/>
          <w:lang w:val="kk-KZ"/>
        </w:rPr>
        <w:t xml:space="preserve">                      Из них: без замечаний и предложений: </w:t>
      </w:r>
      <w:r w:rsidR="00A16914">
        <w:rPr>
          <w:i/>
          <w:lang w:val="kk-KZ"/>
        </w:rPr>
        <w:t>15</w:t>
      </w:r>
    </w:p>
    <w:p w:rsidR="00FE0140" w:rsidRPr="0087193B" w:rsidRDefault="00FE0140" w:rsidP="00FE0140">
      <w:pPr>
        <w:rPr>
          <w:i/>
          <w:lang w:val="kk-KZ"/>
        </w:rPr>
      </w:pPr>
      <w:r w:rsidRPr="0087193B">
        <w:rPr>
          <w:i/>
          <w:lang w:val="kk-KZ"/>
        </w:rPr>
        <w:t xml:space="preserve">                      </w:t>
      </w:r>
      <w:r>
        <w:rPr>
          <w:i/>
          <w:lang w:val="kk-KZ"/>
        </w:rPr>
        <w:t xml:space="preserve">             </w:t>
      </w:r>
      <w:r w:rsidRPr="0087193B">
        <w:rPr>
          <w:i/>
          <w:lang w:val="kk-KZ"/>
        </w:rPr>
        <w:t xml:space="preserve">с замечаниями и предложениями: </w:t>
      </w:r>
      <w:r w:rsidR="00916DCA">
        <w:rPr>
          <w:i/>
          <w:lang w:val="kk-KZ"/>
        </w:rPr>
        <w:t>2</w:t>
      </w:r>
    </w:p>
    <w:p w:rsidR="00FE0140" w:rsidRPr="0087193B" w:rsidRDefault="00FE0140" w:rsidP="00FE0140">
      <w:pPr>
        <w:rPr>
          <w:i/>
          <w:lang w:val="kk-KZ"/>
        </w:rPr>
      </w:pPr>
      <w:r w:rsidRPr="0087193B">
        <w:rPr>
          <w:i/>
          <w:lang w:val="kk-KZ"/>
        </w:rPr>
        <w:t xml:space="preserve">                      Общее количество замечаний: </w:t>
      </w:r>
      <w:r w:rsidR="00916DCA">
        <w:rPr>
          <w:i/>
          <w:lang w:val="kk-KZ"/>
        </w:rPr>
        <w:t>14</w:t>
      </w:r>
    </w:p>
    <w:p w:rsidR="00FE0140" w:rsidRPr="0087193B" w:rsidRDefault="00FE0140" w:rsidP="00FE0140">
      <w:pPr>
        <w:rPr>
          <w:i/>
          <w:lang w:val="kk-KZ"/>
        </w:rPr>
      </w:pPr>
      <w:r w:rsidRPr="0087193B">
        <w:rPr>
          <w:i/>
          <w:lang w:val="kk-KZ"/>
        </w:rPr>
        <w:t xml:space="preserve">                      Из них: принято: </w:t>
      </w:r>
      <w:r w:rsidR="00916DCA">
        <w:rPr>
          <w:i/>
          <w:lang w:val="kk-KZ"/>
        </w:rPr>
        <w:t>14</w:t>
      </w:r>
      <w:r>
        <w:rPr>
          <w:i/>
          <w:lang w:val="kk-KZ"/>
        </w:rPr>
        <w:t xml:space="preserve"> </w:t>
      </w:r>
      <w:r w:rsidRPr="0087193B">
        <w:rPr>
          <w:i/>
          <w:lang w:val="kk-KZ"/>
        </w:rPr>
        <w:t xml:space="preserve">  не принято: </w:t>
      </w:r>
      <w:r>
        <w:rPr>
          <w:i/>
          <w:lang w:val="kk-KZ"/>
        </w:rPr>
        <w:t>0</w:t>
      </w:r>
    </w:p>
    <w:p w:rsidR="00FE0140" w:rsidRPr="0087193B" w:rsidRDefault="00FE0140" w:rsidP="00FE0140">
      <w:pPr>
        <w:rPr>
          <w:lang w:val="kk-KZ"/>
        </w:rPr>
      </w:pPr>
    </w:p>
    <w:p w:rsidR="00FE0140" w:rsidRPr="00D06289" w:rsidRDefault="00FE0140" w:rsidP="00FE0140">
      <w:pPr>
        <w:rPr>
          <w:b/>
          <w:lang w:val="kk-KZ"/>
        </w:rPr>
      </w:pPr>
      <w:r w:rsidRPr="00D06289">
        <w:rPr>
          <w:b/>
          <w:lang w:val="kk-KZ"/>
        </w:rPr>
        <w:t>Общественные организации и объединения</w:t>
      </w:r>
      <w:bookmarkStart w:id="3" w:name="_Hlk45555128"/>
      <w:r w:rsidRPr="00D06289">
        <w:rPr>
          <w:b/>
          <w:lang w:val="kk-KZ"/>
        </w:rPr>
        <w:t>, не предоставившие отзывы</w:t>
      </w:r>
      <w:bookmarkEnd w:id="3"/>
    </w:p>
    <w:p w:rsidR="00916DCA" w:rsidRPr="00916DCA" w:rsidRDefault="00916DCA" w:rsidP="00916DCA">
      <w:pPr>
        <w:rPr>
          <w:lang w:val="kk-KZ"/>
        </w:rPr>
      </w:pPr>
      <w:r w:rsidRPr="00916DCA">
        <w:rPr>
          <w:lang w:val="kk-KZ"/>
        </w:rPr>
        <w:t xml:space="preserve">ОЮЛ «Казахстанский союз химической промышленности» </w:t>
      </w:r>
    </w:p>
    <w:p w:rsidR="00916DCA" w:rsidRPr="00916DCA" w:rsidRDefault="00916DCA" w:rsidP="00916DCA">
      <w:pPr>
        <w:rPr>
          <w:lang w:val="kk-KZ"/>
        </w:rPr>
      </w:pPr>
      <w:r w:rsidRPr="00916DCA">
        <w:rPr>
          <w:lang w:val="kk-KZ"/>
        </w:rPr>
        <w:t xml:space="preserve">Объединение юридических лиц «Казахстанская ассоциация организаций нефтегазового и энергетического комплекса «KAZENERGY» </w:t>
      </w:r>
    </w:p>
    <w:p w:rsidR="00916DCA" w:rsidRPr="00916DCA" w:rsidRDefault="00916DCA" w:rsidP="00916DCA">
      <w:pPr>
        <w:rPr>
          <w:lang w:val="kk-KZ"/>
        </w:rPr>
      </w:pPr>
      <w:r>
        <w:rPr>
          <w:lang w:val="kk-KZ"/>
        </w:rPr>
        <w:t>О</w:t>
      </w:r>
      <w:r w:rsidRPr="00916DCA">
        <w:rPr>
          <w:lang w:val="kk-KZ"/>
        </w:rPr>
        <w:t>ЮЛ «Ассоциация торговых и промышленных предприятий»</w:t>
      </w:r>
    </w:p>
    <w:p w:rsidR="00916DCA" w:rsidRPr="00916DCA" w:rsidRDefault="00916DCA" w:rsidP="00916DCA">
      <w:pPr>
        <w:rPr>
          <w:lang w:val="kk-KZ"/>
        </w:rPr>
      </w:pPr>
      <w:r w:rsidRPr="00916DCA">
        <w:rPr>
          <w:lang w:val="kk-KZ"/>
        </w:rPr>
        <w:t>Ассоциация экологических организации Казахстана</w:t>
      </w:r>
    </w:p>
    <w:p w:rsidR="00FE0140" w:rsidRDefault="00FE0140" w:rsidP="00FE0140">
      <w:pPr>
        <w:rPr>
          <w:lang w:val="kk-KZ"/>
        </w:rPr>
      </w:pPr>
    </w:p>
    <w:p w:rsidR="00FE0140" w:rsidRPr="00EB668F" w:rsidRDefault="00FE0140" w:rsidP="00FE0140">
      <w:pPr>
        <w:rPr>
          <w:b/>
          <w:lang w:val="kk-KZ"/>
        </w:rPr>
      </w:pPr>
      <w:r w:rsidRPr="00EB668F">
        <w:rPr>
          <w:b/>
          <w:lang w:val="kk-KZ"/>
        </w:rPr>
        <w:t>Технические комитеты по стандартизации, не предоставившие отзывы</w:t>
      </w:r>
    </w:p>
    <w:p w:rsidR="00916DCA" w:rsidRPr="00916DCA" w:rsidRDefault="00916DCA" w:rsidP="00916DCA">
      <w:pPr>
        <w:rPr>
          <w:lang w:val="kk-KZ"/>
        </w:rPr>
      </w:pPr>
      <w:r w:rsidRPr="00916DCA">
        <w:rPr>
          <w:lang w:val="kk-KZ"/>
        </w:rPr>
        <w:t xml:space="preserve">ТК 75 «Промышленная безопасность» на базе ТОО «Едиль-Орал.kz» </w:t>
      </w:r>
    </w:p>
    <w:p w:rsidR="00916DCA" w:rsidRPr="00916DCA" w:rsidRDefault="00916DCA" w:rsidP="00916DCA">
      <w:pPr>
        <w:rPr>
          <w:lang w:val="kk-KZ"/>
        </w:rPr>
      </w:pPr>
      <w:r w:rsidRPr="00916DCA">
        <w:rPr>
          <w:lang w:val="kk-KZ"/>
        </w:rPr>
        <w:lastRenderedPageBreak/>
        <w:t>ТК 80 «Энергосбережение повышение энергоэффективности в энергетике и теплотехнике» на базе АО «Казахэнергоэкспертиза»</w:t>
      </w:r>
    </w:p>
    <w:p w:rsidR="00916DCA" w:rsidRPr="00916DCA" w:rsidRDefault="00916DCA" w:rsidP="00916DCA">
      <w:pPr>
        <w:rPr>
          <w:lang w:val="kk-KZ"/>
        </w:rPr>
      </w:pPr>
      <w:bookmarkStart w:id="4" w:name="_GoBack"/>
      <w:bookmarkEnd w:id="4"/>
      <w:r w:rsidRPr="00916DCA">
        <w:rPr>
          <w:lang w:val="kk-KZ"/>
        </w:rPr>
        <w:t>ТК 1</w:t>
      </w:r>
      <w:r>
        <w:rPr>
          <w:lang w:val="kk-KZ"/>
        </w:rPr>
        <w:t xml:space="preserve">79 </w:t>
      </w:r>
      <w:r w:rsidRPr="00916DCA">
        <w:rPr>
          <w:lang w:val="kk-KZ"/>
        </w:rPr>
        <w:t>Уголь и продукты его переработки</w:t>
      </w:r>
    </w:p>
    <w:p w:rsidR="00FE0140" w:rsidRPr="0087193B" w:rsidRDefault="00FE0140" w:rsidP="00FE0140">
      <w:pPr>
        <w:rPr>
          <w:lang w:val="kk-KZ"/>
        </w:rPr>
      </w:pPr>
    </w:p>
    <w:p w:rsidR="00FE0140" w:rsidRPr="00EB668F" w:rsidRDefault="00FE0140" w:rsidP="00FE0140">
      <w:pPr>
        <w:rPr>
          <w:b/>
          <w:lang w:val="kk-KZ"/>
        </w:rPr>
      </w:pPr>
      <w:r w:rsidRPr="00EB668F">
        <w:rPr>
          <w:b/>
          <w:lang w:val="kk-KZ"/>
        </w:rPr>
        <w:t>ОПС и ИЛ, не предоставившие отзывы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АО «Национальный центр экспертизы и сертификации» и его филиалы;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ИЦ Филиала РГП на ПХВ "Национальный центр экспертизы" Комитета по защите прав потребителей Министерства национальной экономики Республики Казахстан по Актюбинской области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ИЦ Филиала РГП на ПХВ "Национальный центр экспертизы" Комитета по защите прав потребителей Министерства национальной экономики Республики Казахстан по Костанайской области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ИЦ Филиала РГП на ПХВ "Национальный центр экспертизы" Комитета по защите прав потребителей Министерства национальной экономики Республики Казахстан по Мангистауской области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ИЦ Филиала РГП на ПХВ "Национальный центр экспертизы" Комитета по защите прав потребителей Министерства национальной экономики Республики Казахстан по Южно-Казахстанской области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Лаборатория наблюдений за состоянием окружающей среды филиала РГП на ПХВ "Казгидромет" МЭ РК по Акмолинской обл., г. Кокшетау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ИЛ экологического мониторинга филиала ТОО «Республиканский научно-исследовательский центр охраны атмосферного воздуха» в г. Атырау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ИЛ ТОО "Республиканский научно-производственный и информационный центр "Казэкология", г. Алматы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ИЛ ТОО "Реактивснаб", г. Шымкент</w:t>
      </w:r>
    </w:p>
    <w:p w:rsidR="00FE0140" w:rsidRPr="00EB668F" w:rsidRDefault="00FE0140" w:rsidP="00FE0140">
      <w:pPr>
        <w:rPr>
          <w:lang w:val="kk-KZ"/>
        </w:rPr>
      </w:pPr>
    </w:p>
    <w:p w:rsidR="00FE0140" w:rsidRPr="00EB668F" w:rsidRDefault="00FE0140" w:rsidP="00FE0140">
      <w:pPr>
        <w:rPr>
          <w:b/>
          <w:lang w:val="kk-KZ"/>
        </w:rPr>
      </w:pPr>
      <w:r w:rsidRPr="00EB668F">
        <w:rPr>
          <w:b/>
          <w:lang w:val="kk-KZ"/>
        </w:rPr>
        <w:t>Организации-производители и организации-потребители, не предоставившие отзывы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«Богатырь Комир»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АО «Е</w:t>
      </w:r>
      <w:r>
        <w:rPr>
          <w:lang w:val="kk-KZ"/>
        </w:rPr>
        <w:t>в</w:t>
      </w:r>
      <w:r w:rsidRPr="00112B17">
        <w:rPr>
          <w:lang w:val="kk-KZ"/>
        </w:rPr>
        <w:t>роазиатская Энергетическая Корпорация»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АО «АрселорМиттал Темиртау» Угольный департамент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АО «АрселорМиттал Темиртау» Коксохимпроиводство </w:t>
      </w:r>
    </w:p>
    <w:p w:rsidR="00112B17" w:rsidRPr="00112B17" w:rsidRDefault="00112B17" w:rsidP="00112B17">
      <w:pPr>
        <w:rPr>
          <w:lang w:val="kk-KZ"/>
        </w:rPr>
      </w:pPr>
      <w:r>
        <w:rPr>
          <w:lang w:val="kk-KZ"/>
        </w:rPr>
        <w:t>РГП «НЦ КПМС РК» «ВНИИцветмет» (МТК 504 «Цинк, свинец»)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«Гамма»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«Exim Artis»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ТОО «Анг</w:t>
      </w:r>
      <w:r>
        <w:rPr>
          <w:lang w:val="kk-KZ"/>
        </w:rPr>
        <w:t>р</w:t>
      </w:r>
      <w:r w:rsidRPr="00112B17">
        <w:rPr>
          <w:lang w:val="kk-KZ"/>
        </w:rPr>
        <w:t>ес</w:t>
      </w:r>
      <w:r>
        <w:rPr>
          <w:lang w:val="kk-KZ"/>
        </w:rPr>
        <w:t>с</w:t>
      </w:r>
      <w:r w:rsidRPr="00112B17">
        <w:rPr>
          <w:lang w:val="kk-KZ"/>
        </w:rPr>
        <w:t xml:space="preserve">ор Энерго»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«Разрез Кузнецкий»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«Карагандагипрошахт и К»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«УПНК-ПВ»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АО «Самрук-Энерго»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АО «Станция Экибастузская ГРЭС-2»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«Главная Энергостанция Топар» (ГРЭС-2)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«Аналитик АФ»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>ТОО «Тарту-Стандарт»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lastRenderedPageBreak/>
        <w:t xml:space="preserve">ТОО «ЭКОКсперт»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ТОО «Центр геоланалит»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ОЮЛ «Ассоциация Республиканский союз промышленников вторичной металургии» </w:t>
      </w:r>
    </w:p>
    <w:p w:rsidR="00112B17" w:rsidRPr="00112B17" w:rsidRDefault="00112B17" w:rsidP="00112B17">
      <w:pPr>
        <w:rPr>
          <w:lang w:val="kk-KZ"/>
        </w:rPr>
      </w:pPr>
      <w:r w:rsidRPr="00112B17">
        <w:rPr>
          <w:lang w:val="kk-KZ"/>
        </w:rPr>
        <w:t xml:space="preserve"> ТОО «СТС-1»</w:t>
      </w:r>
    </w:p>
    <w:p w:rsidR="00112B17" w:rsidRPr="00112B17" w:rsidRDefault="00112B17" w:rsidP="00112B17">
      <w:pPr>
        <w:rPr>
          <w:lang w:val="kk-KZ"/>
        </w:rPr>
      </w:pPr>
      <w:r>
        <w:rPr>
          <w:lang w:val="kk-KZ"/>
        </w:rPr>
        <w:t>ТОО «</w:t>
      </w:r>
      <w:r w:rsidRPr="00112B17">
        <w:rPr>
          <w:lang w:val="kk-KZ"/>
        </w:rPr>
        <w:t>Exim Artis</w:t>
      </w:r>
      <w:r>
        <w:rPr>
          <w:lang w:val="kk-KZ"/>
        </w:rPr>
        <w:t>»</w:t>
      </w:r>
    </w:p>
    <w:p w:rsidR="00112B17" w:rsidRPr="00112B17" w:rsidRDefault="00112B17" w:rsidP="00112B17">
      <w:pPr>
        <w:rPr>
          <w:lang w:val="kk-KZ"/>
        </w:rPr>
      </w:pPr>
      <w:r>
        <w:rPr>
          <w:lang w:val="kk-KZ"/>
        </w:rPr>
        <w:t>ТОО «Разрез Кузнецкий»</w:t>
      </w:r>
    </w:p>
    <w:p w:rsidR="00112B17" w:rsidRPr="00112B17" w:rsidRDefault="00112B17" w:rsidP="00112B17">
      <w:pPr>
        <w:rPr>
          <w:lang w:val="kk-KZ"/>
        </w:rPr>
      </w:pPr>
      <w:r>
        <w:rPr>
          <w:lang w:val="kk-KZ"/>
        </w:rPr>
        <w:t>ТОО «Карагандагипрошахт и К»</w:t>
      </w:r>
    </w:p>
    <w:p w:rsidR="00FE0140" w:rsidRPr="0087193B" w:rsidRDefault="00FE0140" w:rsidP="00FE0140">
      <w:pPr>
        <w:rPr>
          <w:lang w:val="kk-KZ"/>
        </w:rPr>
      </w:pPr>
    </w:p>
    <w:p w:rsidR="00FE0140" w:rsidRPr="0087193B" w:rsidRDefault="00FE0140" w:rsidP="00FE0140">
      <w:pPr>
        <w:rPr>
          <w:lang w:val="kk-KZ"/>
        </w:rPr>
      </w:pPr>
    </w:p>
    <w:p w:rsidR="00FE0140" w:rsidRPr="0087193B" w:rsidRDefault="00FE0140" w:rsidP="00FE0140">
      <w:pPr>
        <w:rPr>
          <w:lang w:val="kk-KZ"/>
        </w:rPr>
      </w:pPr>
    </w:p>
    <w:p w:rsidR="00FE0140" w:rsidRPr="005C7AF4" w:rsidRDefault="00FE0140" w:rsidP="00FE0140">
      <w:pPr>
        <w:jc w:val="center"/>
        <w:rPr>
          <w:b/>
          <w:lang w:val="kk-KZ"/>
        </w:rPr>
      </w:pPr>
      <w:r w:rsidRPr="005C7AF4">
        <w:rPr>
          <w:b/>
          <w:lang w:val="kk-KZ"/>
        </w:rPr>
        <w:t>Директор ТОО «Kazakhstan Business Solution»                                                А. А. Ибраева</w:t>
      </w:r>
    </w:p>
    <w:p w:rsidR="00FE0140" w:rsidRPr="0087193B" w:rsidRDefault="00FE0140" w:rsidP="00FE0140">
      <w:pPr>
        <w:rPr>
          <w:lang w:val="kk-KZ"/>
        </w:rPr>
      </w:pPr>
    </w:p>
    <w:p w:rsidR="00FE0140" w:rsidRPr="00D63B02" w:rsidRDefault="00FE0140" w:rsidP="00F877F5">
      <w:pPr>
        <w:rPr>
          <w:lang w:val="en-US"/>
        </w:rPr>
      </w:pPr>
    </w:p>
    <w:sectPr w:rsidR="00FE0140" w:rsidRPr="00D63B02" w:rsidSect="00F27C8D">
      <w:headerReference w:type="default" r:id="rId8"/>
      <w:pgSz w:w="16838" w:h="11906" w:orient="landscape"/>
      <w:pgMar w:top="720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D9" w:rsidRDefault="001A55D9" w:rsidP="001A55D9">
      <w:r>
        <w:separator/>
      </w:r>
    </w:p>
  </w:endnote>
  <w:endnote w:type="continuationSeparator" w:id="0">
    <w:p w:rsidR="001A55D9" w:rsidRDefault="001A55D9" w:rsidP="001A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D9" w:rsidRDefault="001A55D9" w:rsidP="001A55D9">
      <w:r>
        <w:separator/>
      </w:r>
    </w:p>
  </w:footnote>
  <w:footnote w:type="continuationSeparator" w:id="0">
    <w:p w:rsidR="001A55D9" w:rsidRDefault="001A55D9" w:rsidP="001A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53" w:rsidRDefault="00A07F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00553" w:rsidRDefault="00A169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31B"/>
    <w:multiLevelType w:val="hybridMultilevel"/>
    <w:tmpl w:val="02DC260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A098F"/>
    <w:multiLevelType w:val="hybridMultilevel"/>
    <w:tmpl w:val="03760C86"/>
    <w:lvl w:ilvl="0" w:tplc="D8CC8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A52"/>
    <w:multiLevelType w:val="hybridMultilevel"/>
    <w:tmpl w:val="DFCC384A"/>
    <w:lvl w:ilvl="0" w:tplc="E300F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A71"/>
    <w:multiLevelType w:val="hybridMultilevel"/>
    <w:tmpl w:val="32E6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5320"/>
    <w:multiLevelType w:val="hybridMultilevel"/>
    <w:tmpl w:val="90E8BF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7310C"/>
    <w:multiLevelType w:val="hybridMultilevel"/>
    <w:tmpl w:val="83F23D52"/>
    <w:lvl w:ilvl="0" w:tplc="E70A2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2768"/>
    <w:multiLevelType w:val="hybridMultilevel"/>
    <w:tmpl w:val="CCDA5248"/>
    <w:lvl w:ilvl="0" w:tplc="E300F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26C8"/>
    <w:multiLevelType w:val="hybridMultilevel"/>
    <w:tmpl w:val="0798D4E6"/>
    <w:lvl w:ilvl="0" w:tplc="E300F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F2840"/>
    <w:multiLevelType w:val="hybridMultilevel"/>
    <w:tmpl w:val="98B03B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36BC0"/>
    <w:multiLevelType w:val="hybridMultilevel"/>
    <w:tmpl w:val="4790B400"/>
    <w:lvl w:ilvl="0" w:tplc="E300F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034E"/>
    <w:multiLevelType w:val="hybridMultilevel"/>
    <w:tmpl w:val="133C2CCE"/>
    <w:lvl w:ilvl="0" w:tplc="10A04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74"/>
    <w:rsid w:val="00096FF1"/>
    <w:rsid w:val="000B3F36"/>
    <w:rsid w:val="000B71C6"/>
    <w:rsid w:val="00112B17"/>
    <w:rsid w:val="00116A1E"/>
    <w:rsid w:val="00145A49"/>
    <w:rsid w:val="001768F3"/>
    <w:rsid w:val="001A55D9"/>
    <w:rsid w:val="001D42E6"/>
    <w:rsid w:val="002E0508"/>
    <w:rsid w:val="00355C43"/>
    <w:rsid w:val="003A5A84"/>
    <w:rsid w:val="003B50D5"/>
    <w:rsid w:val="003C2CA1"/>
    <w:rsid w:val="003E5DAE"/>
    <w:rsid w:val="003E6D1E"/>
    <w:rsid w:val="00483462"/>
    <w:rsid w:val="00484A84"/>
    <w:rsid w:val="004E3CE0"/>
    <w:rsid w:val="005274D0"/>
    <w:rsid w:val="00546DB8"/>
    <w:rsid w:val="005F0C5F"/>
    <w:rsid w:val="0062610F"/>
    <w:rsid w:val="0063093B"/>
    <w:rsid w:val="00695937"/>
    <w:rsid w:val="006B41B4"/>
    <w:rsid w:val="006D3F77"/>
    <w:rsid w:val="006F68E0"/>
    <w:rsid w:val="00726D31"/>
    <w:rsid w:val="0077670D"/>
    <w:rsid w:val="007929B6"/>
    <w:rsid w:val="0086734F"/>
    <w:rsid w:val="00877B68"/>
    <w:rsid w:val="008C495A"/>
    <w:rsid w:val="008E628D"/>
    <w:rsid w:val="00916DCA"/>
    <w:rsid w:val="00963ED4"/>
    <w:rsid w:val="00972AC5"/>
    <w:rsid w:val="009A2174"/>
    <w:rsid w:val="009B6C81"/>
    <w:rsid w:val="009E6FBE"/>
    <w:rsid w:val="009F126E"/>
    <w:rsid w:val="00A07F8E"/>
    <w:rsid w:val="00A16914"/>
    <w:rsid w:val="00A4092C"/>
    <w:rsid w:val="00A84E57"/>
    <w:rsid w:val="00AA05E2"/>
    <w:rsid w:val="00B41044"/>
    <w:rsid w:val="00B56CC1"/>
    <w:rsid w:val="00B609BB"/>
    <w:rsid w:val="00B94BB7"/>
    <w:rsid w:val="00BC7D65"/>
    <w:rsid w:val="00C81A05"/>
    <w:rsid w:val="00CA6221"/>
    <w:rsid w:val="00CE3820"/>
    <w:rsid w:val="00CE4CDC"/>
    <w:rsid w:val="00D16E4F"/>
    <w:rsid w:val="00D63B02"/>
    <w:rsid w:val="00D918B1"/>
    <w:rsid w:val="00DB7FD4"/>
    <w:rsid w:val="00DC3888"/>
    <w:rsid w:val="00E80551"/>
    <w:rsid w:val="00E824EE"/>
    <w:rsid w:val="00EC4878"/>
    <w:rsid w:val="00F57C52"/>
    <w:rsid w:val="00F86245"/>
    <w:rsid w:val="00F877F5"/>
    <w:rsid w:val="00FA2A74"/>
    <w:rsid w:val="00FE0140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4F02"/>
  <w15:chartTrackingRefBased/>
  <w15:docId w15:val="{F4C6C8AB-47C9-4E2B-97F9-2B2EDAE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5D9"/>
  </w:style>
  <w:style w:type="paragraph" w:styleId="a5">
    <w:name w:val="footer"/>
    <w:basedOn w:val="a"/>
    <w:link w:val="a6"/>
    <w:uiPriority w:val="99"/>
    <w:unhideWhenUsed/>
    <w:rsid w:val="001A5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5D9"/>
  </w:style>
  <w:style w:type="table" w:styleId="a7">
    <w:name w:val="Table Grid"/>
    <w:basedOn w:val="a1"/>
    <w:uiPriority w:val="39"/>
    <w:rsid w:val="001A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маркированный,Citation List"/>
    <w:basedOn w:val="a"/>
    <w:link w:val="a9"/>
    <w:qFormat/>
    <w:rsid w:val="008C495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aliases w:val="маркированный Знак,Citation List Знак"/>
    <w:basedOn w:val="a0"/>
    <w:link w:val="a8"/>
    <w:locked/>
    <w:rsid w:val="008C495A"/>
    <w:rPr>
      <w:rFonts w:ascii="Calibri" w:eastAsia="Times New Roman" w:hAnsi="Calibri" w:cs="Times New Roman"/>
      <w:lang w:val="ru-RU" w:eastAsia="ru-RU"/>
    </w:rPr>
  </w:style>
  <w:style w:type="paragraph" w:styleId="aa">
    <w:name w:val="No Spacing"/>
    <w:uiPriority w:val="1"/>
    <w:qFormat/>
    <w:rsid w:val="00F877F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70C8-29FF-4C7D-B362-4EA9D596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9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KBS-1</dc:creator>
  <cp:keywords/>
  <dc:description/>
  <cp:lastModifiedBy>KBS-1</cp:lastModifiedBy>
  <cp:revision>24</cp:revision>
  <dcterms:created xsi:type="dcterms:W3CDTF">2022-06-14T06:56:00Z</dcterms:created>
  <dcterms:modified xsi:type="dcterms:W3CDTF">2022-09-07T11:32:00Z</dcterms:modified>
</cp:coreProperties>
</file>