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3C7B02" w:rsidRDefault="003C7B02" w:rsidP="007606E8">
      <w:pPr>
        <w:jc w:val="center"/>
        <w:rPr>
          <w:b/>
        </w:rPr>
      </w:pPr>
      <w:r w:rsidRPr="003C7B02">
        <w:rPr>
          <w:b/>
        </w:rPr>
        <w:t>ГОСТ «Кожа. Метод испытания устойчивости окраски к поту»</w:t>
      </w:r>
    </w:p>
    <w:p w:rsidR="003C7B02" w:rsidRPr="003C7B02" w:rsidRDefault="003C7B02" w:rsidP="007606E8">
      <w:pPr>
        <w:jc w:val="center"/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5652"/>
      </w:tblGrid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88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65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7606E8" w:rsidP="00EC284F">
            <w:pPr>
              <w:jc w:val="both"/>
            </w:pPr>
            <w:r w:rsidRPr="00762AA6">
              <w:t xml:space="preserve">Тел.:8 (7172) </w:t>
            </w:r>
            <w:hyperlink r:id="rId4" w:history="1">
              <w:r w:rsidR="00EC284F" w:rsidRPr="00762AA6">
                <w:t>2</w:t>
              </w:r>
              <w:r w:rsidR="00EC284F">
                <w:t>70801</w:t>
              </w:r>
            </w:hyperlink>
            <w:r w:rsidR="008F75AC" w:rsidRPr="00762AA6">
              <w:t>, 257142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7606E8" w:rsidRPr="00CC0D67" w:rsidRDefault="003C7B02" w:rsidP="003C7B02">
            <w:pPr>
              <w:jc w:val="both"/>
            </w:pPr>
            <w:r w:rsidRPr="00CA0C30">
              <w:t>Кожа. Метод испытания устойчивости окраски к поту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7606E8" w:rsidRPr="00C278EF" w:rsidRDefault="007606E8" w:rsidP="00F67DA6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Метод </w:t>
            </w:r>
            <w:r w:rsidR="003C7B02" w:rsidRPr="00CA0C30">
              <w:t xml:space="preserve">испытания </w:t>
            </w:r>
            <w:r w:rsidR="00F67DA6">
              <w:t xml:space="preserve">кожи на </w:t>
            </w:r>
            <w:r w:rsidR="003C7B02" w:rsidRPr="00CA0C30">
              <w:t>устойчивост</w:t>
            </w:r>
            <w:r w:rsidR="00F67DA6">
              <w:t>ь</w:t>
            </w:r>
            <w:r w:rsidR="003C7B02" w:rsidRPr="00CA0C30">
              <w:t xml:space="preserve"> окраски к поту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3C7B02">
        <w:trPr>
          <w:trHeight w:val="560"/>
        </w:trPr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65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65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7606E8" w:rsidRPr="00C278EF" w:rsidRDefault="00724ACB" w:rsidP="000958F1">
            <w:hyperlink r:id="rId5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</w:t>
            </w:r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 xml:space="preserve">очта: </w:t>
            </w:r>
            <w:proofErr w:type="spellStart"/>
            <w:r w:rsidRPr="00762AA6">
              <w:rPr>
                <w:shd w:val="clear" w:color="auto" w:fill="FFFFFF"/>
              </w:rPr>
              <w:t>info@ksm.kz</w:t>
            </w:r>
            <w:proofErr w:type="spellEnd"/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6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652" w:type="dxa"/>
          </w:tcPr>
          <w:p w:rsidR="007606E8" w:rsidRPr="00C278EF" w:rsidRDefault="00F67DA6" w:rsidP="000958F1">
            <w:proofErr w:type="spellStart"/>
            <w:r>
              <w:t>Сейсенова</w:t>
            </w:r>
            <w:proofErr w:type="spellEnd"/>
            <w:r>
              <w:t xml:space="preserve"> С.Е.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C278EF">
              <w:rPr>
                <w:rFonts w:eastAsia="Times New Roman"/>
                <w:b/>
              </w:rPr>
              <w:t>СТ</w:t>
            </w:r>
            <w:proofErr w:type="gramEnd"/>
            <w:r w:rsidRPr="00C278EF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565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3C7B02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6E8"/>
    <w:rsid w:val="002752BA"/>
    <w:rsid w:val="003C7B02"/>
    <w:rsid w:val="005C28C1"/>
    <w:rsid w:val="005E707D"/>
    <w:rsid w:val="00724ACB"/>
    <w:rsid w:val="007606E8"/>
    <w:rsid w:val="00762AA6"/>
    <w:rsid w:val="00792279"/>
    <w:rsid w:val="008F75AC"/>
    <w:rsid w:val="00AC6023"/>
    <w:rsid w:val="00B155F1"/>
    <w:rsid w:val="00CC5FF2"/>
    <w:rsid w:val="00EC284F"/>
    <w:rsid w:val="00F6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tel:+77172282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5</cp:revision>
  <dcterms:created xsi:type="dcterms:W3CDTF">2021-05-04T10:16:00Z</dcterms:created>
  <dcterms:modified xsi:type="dcterms:W3CDTF">2021-05-12T11:37:00Z</dcterms:modified>
</cp:coreProperties>
</file>