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DF573" w14:textId="77777777" w:rsidR="00536CB9" w:rsidRPr="00923AE6" w:rsidRDefault="00536CB9" w:rsidP="00536CB9">
      <w:pPr>
        <w:spacing w:after="0" w:line="240" w:lineRule="auto"/>
        <w:jc w:val="center"/>
        <w:rPr>
          <w:b/>
          <w:color w:val="auto"/>
          <w:szCs w:val="24"/>
          <w:lang w:val="ru-RU"/>
        </w:rPr>
      </w:pPr>
      <w:r w:rsidRPr="00923AE6">
        <w:rPr>
          <w:color w:val="auto"/>
          <w:szCs w:val="24"/>
          <w:lang w:val="kk-KZ"/>
        </w:rPr>
        <w:t>Изображение государственного Герба Республики Казахстан</w:t>
      </w:r>
    </w:p>
    <w:p w14:paraId="2A2DEDDB" w14:textId="77777777" w:rsidR="00536CB9" w:rsidRPr="00923AE6" w:rsidRDefault="00536CB9" w:rsidP="00536CB9">
      <w:pPr>
        <w:spacing w:after="0" w:line="240" w:lineRule="auto"/>
        <w:jc w:val="center"/>
        <w:rPr>
          <w:b/>
          <w:color w:val="auto"/>
          <w:szCs w:val="24"/>
          <w:lang w:val="ru-RU"/>
        </w:rPr>
      </w:pPr>
    </w:p>
    <w:p w14:paraId="3F0AC36D" w14:textId="77777777" w:rsidR="00536CB9" w:rsidRPr="00923AE6" w:rsidRDefault="00536CB9" w:rsidP="00536CB9">
      <w:pPr>
        <w:pBdr>
          <w:bottom w:val="single" w:sz="4" w:space="1" w:color="auto"/>
        </w:pBdr>
        <w:spacing w:after="0" w:line="240" w:lineRule="auto"/>
        <w:jc w:val="center"/>
        <w:rPr>
          <w:b/>
          <w:color w:val="auto"/>
          <w:szCs w:val="24"/>
          <w:lang w:val="ru-RU"/>
        </w:rPr>
      </w:pPr>
      <w:r w:rsidRPr="00923AE6">
        <w:rPr>
          <w:b/>
          <w:color w:val="auto"/>
          <w:szCs w:val="24"/>
          <w:lang w:val="ru-RU"/>
        </w:rPr>
        <w:t>НАЦИОНАЛЬНЫЙ СТАНДАРТ РЕСПУБЛИКИ КАЗАХСТАН</w:t>
      </w:r>
    </w:p>
    <w:p w14:paraId="1AF7F069" w14:textId="77777777" w:rsidR="00536CB9" w:rsidRPr="00923AE6" w:rsidRDefault="00536CB9" w:rsidP="00536CB9">
      <w:pPr>
        <w:spacing w:after="0" w:line="240" w:lineRule="auto"/>
        <w:jc w:val="center"/>
        <w:rPr>
          <w:b/>
          <w:caps/>
          <w:color w:val="auto"/>
          <w:szCs w:val="24"/>
          <w:lang w:val="ru-RU"/>
        </w:rPr>
      </w:pPr>
    </w:p>
    <w:p w14:paraId="34CEAE62" w14:textId="77777777" w:rsidR="00536CB9" w:rsidRPr="00923AE6" w:rsidRDefault="00536CB9" w:rsidP="00536CB9">
      <w:pPr>
        <w:tabs>
          <w:tab w:val="left" w:pos="8640"/>
        </w:tabs>
        <w:spacing w:after="0" w:line="240" w:lineRule="auto"/>
        <w:jc w:val="center"/>
        <w:rPr>
          <w:b/>
          <w:caps/>
          <w:color w:val="auto"/>
          <w:szCs w:val="24"/>
          <w:lang w:val="ru-RU"/>
        </w:rPr>
      </w:pPr>
    </w:p>
    <w:p w14:paraId="7804AEF4" w14:textId="77777777" w:rsidR="00536CB9" w:rsidRPr="00923AE6" w:rsidRDefault="00536CB9" w:rsidP="00536CB9">
      <w:pPr>
        <w:tabs>
          <w:tab w:val="left" w:pos="8640"/>
        </w:tabs>
        <w:spacing w:after="0" w:line="240" w:lineRule="auto"/>
        <w:jc w:val="center"/>
        <w:rPr>
          <w:b/>
          <w:caps/>
          <w:color w:val="auto"/>
          <w:szCs w:val="24"/>
          <w:lang w:val="ru-RU"/>
        </w:rPr>
      </w:pPr>
    </w:p>
    <w:p w14:paraId="66B8C02C" w14:textId="77777777" w:rsidR="00536CB9" w:rsidRPr="00923AE6" w:rsidRDefault="00536CB9" w:rsidP="00536CB9">
      <w:pPr>
        <w:tabs>
          <w:tab w:val="left" w:pos="8640"/>
        </w:tabs>
        <w:spacing w:after="0" w:line="240" w:lineRule="auto"/>
        <w:jc w:val="center"/>
        <w:rPr>
          <w:b/>
          <w:caps/>
          <w:color w:val="auto"/>
          <w:szCs w:val="24"/>
          <w:lang w:val="ru-RU"/>
        </w:rPr>
      </w:pPr>
    </w:p>
    <w:p w14:paraId="58B149CD" w14:textId="77777777" w:rsidR="00536CB9" w:rsidRPr="00923AE6" w:rsidRDefault="00536CB9" w:rsidP="00536CB9">
      <w:pPr>
        <w:spacing w:after="0" w:line="240" w:lineRule="auto"/>
        <w:rPr>
          <w:b/>
          <w:color w:val="auto"/>
          <w:szCs w:val="24"/>
          <w:lang w:val="ru-RU"/>
        </w:rPr>
      </w:pPr>
    </w:p>
    <w:p w14:paraId="246913F1" w14:textId="77777777" w:rsidR="00536CB9" w:rsidRPr="00923AE6" w:rsidRDefault="00536CB9" w:rsidP="00536CB9">
      <w:pPr>
        <w:spacing w:after="0" w:line="240" w:lineRule="auto"/>
        <w:rPr>
          <w:b/>
          <w:color w:val="auto"/>
          <w:szCs w:val="24"/>
          <w:lang w:val="ru-RU"/>
        </w:rPr>
      </w:pPr>
    </w:p>
    <w:p w14:paraId="6E2ECF8D" w14:textId="77777777" w:rsidR="00536CB9" w:rsidRPr="00923AE6" w:rsidRDefault="00536CB9" w:rsidP="00536CB9">
      <w:pPr>
        <w:spacing w:after="0" w:line="240" w:lineRule="auto"/>
        <w:rPr>
          <w:b/>
          <w:color w:val="auto"/>
          <w:szCs w:val="24"/>
          <w:lang w:val="ru-RU"/>
        </w:rPr>
      </w:pPr>
    </w:p>
    <w:p w14:paraId="14DD4D9C" w14:textId="77777777" w:rsidR="00536CB9" w:rsidRPr="00923AE6" w:rsidRDefault="00536CB9" w:rsidP="00536CB9">
      <w:pPr>
        <w:pStyle w:val="Style14"/>
        <w:widowControl/>
        <w:ind w:left="10" w:hanging="10"/>
        <w:jc w:val="both"/>
        <w:rPr>
          <w:rStyle w:val="FontStyle51"/>
          <w:bCs/>
          <w:color w:val="auto"/>
          <w:szCs w:val="28"/>
          <w:lang w:eastAsia="en-US"/>
        </w:rPr>
      </w:pPr>
    </w:p>
    <w:p w14:paraId="08F7170B" w14:textId="77777777" w:rsidR="00536CB9" w:rsidRPr="00923AE6" w:rsidRDefault="00536CB9" w:rsidP="00536CB9">
      <w:pPr>
        <w:pStyle w:val="Style14"/>
        <w:widowControl/>
        <w:ind w:left="10" w:hanging="10"/>
        <w:jc w:val="both"/>
        <w:rPr>
          <w:rStyle w:val="FontStyle51"/>
          <w:bCs/>
          <w:color w:val="auto"/>
          <w:szCs w:val="28"/>
          <w:lang w:eastAsia="en-US"/>
        </w:rPr>
      </w:pPr>
    </w:p>
    <w:p w14:paraId="0A3BAB69" w14:textId="77777777" w:rsidR="00536CB9" w:rsidRPr="00923AE6" w:rsidRDefault="00536CB9" w:rsidP="00536CB9">
      <w:pPr>
        <w:pStyle w:val="Style14"/>
        <w:widowControl/>
        <w:ind w:left="10" w:hanging="10"/>
        <w:jc w:val="both"/>
        <w:rPr>
          <w:rStyle w:val="FontStyle51"/>
          <w:bCs/>
          <w:color w:val="auto"/>
          <w:szCs w:val="28"/>
          <w:lang w:eastAsia="en-US"/>
        </w:rPr>
      </w:pPr>
    </w:p>
    <w:p w14:paraId="2E2B8747" w14:textId="77777777" w:rsidR="00DB12B4" w:rsidRDefault="00DB12B4" w:rsidP="00556116">
      <w:pPr>
        <w:spacing w:after="0" w:line="240" w:lineRule="auto"/>
        <w:jc w:val="center"/>
        <w:rPr>
          <w:b/>
          <w:szCs w:val="24"/>
          <w:lang w:val="ru-RU" w:eastAsia="ru-RU"/>
        </w:rPr>
      </w:pPr>
      <w:bookmarkStart w:id="0" w:name="_Hlk137820883"/>
      <w:r w:rsidRPr="00DB12B4">
        <w:rPr>
          <w:b/>
          <w:szCs w:val="24"/>
          <w:lang w:val="ru-RU" w:eastAsia="ru-RU"/>
        </w:rPr>
        <w:t>Животные</w:t>
      </w:r>
    </w:p>
    <w:p w14:paraId="56F1881B" w14:textId="77777777" w:rsidR="00DB12B4" w:rsidRDefault="00DB12B4" w:rsidP="00556116">
      <w:pPr>
        <w:spacing w:after="0" w:line="240" w:lineRule="auto"/>
        <w:jc w:val="center"/>
        <w:rPr>
          <w:b/>
          <w:szCs w:val="24"/>
          <w:lang w:val="ru-RU" w:eastAsia="ru-RU"/>
        </w:rPr>
      </w:pPr>
    </w:p>
    <w:p w14:paraId="0AFF616F" w14:textId="77777777" w:rsidR="00DB12B4" w:rsidRDefault="00DB12B4" w:rsidP="00556116">
      <w:pPr>
        <w:spacing w:after="0" w:line="240" w:lineRule="auto"/>
        <w:jc w:val="center"/>
        <w:rPr>
          <w:b/>
          <w:szCs w:val="24"/>
          <w:lang w:val="ru-RU" w:eastAsia="ru-RU"/>
        </w:rPr>
      </w:pPr>
      <w:r w:rsidRPr="00DB12B4">
        <w:rPr>
          <w:b/>
          <w:szCs w:val="24"/>
          <w:lang w:val="ru-RU" w:eastAsia="ru-RU"/>
        </w:rPr>
        <w:t>ЛАБОРАТОРНАЯ ДИАГНОСТИКА БОЛЕЗНИ АУЕСКИ</w:t>
      </w:r>
    </w:p>
    <w:p w14:paraId="024988D7" w14:textId="77777777" w:rsidR="00DB12B4" w:rsidRDefault="00DB12B4" w:rsidP="00556116">
      <w:pPr>
        <w:spacing w:after="0" w:line="240" w:lineRule="auto"/>
        <w:jc w:val="center"/>
        <w:rPr>
          <w:b/>
          <w:szCs w:val="24"/>
          <w:lang w:val="ru-RU" w:eastAsia="ru-RU"/>
        </w:rPr>
      </w:pPr>
    </w:p>
    <w:p w14:paraId="5A134558" w14:textId="77777777" w:rsidR="00556116" w:rsidRPr="00556116" w:rsidRDefault="00DB12B4" w:rsidP="00556116">
      <w:pPr>
        <w:spacing w:after="0" w:line="240" w:lineRule="auto"/>
        <w:jc w:val="center"/>
        <w:rPr>
          <w:b/>
          <w:szCs w:val="24"/>
          <w:lang w:val="ru-RU" w:eastAsia="ru-RU"/>
        </w:rPr>
      </w:pPr>
      <w:r w:rsidRPr="00DB12B4">
        <w:rPr>
          <w:b/>
          <w:szCs w:val="24"/>
          <w:lang w:val="ru-RU" w:eastAsia="ru-RU"/>
        </w:rPr>
        <w:t xml:space="preserve"> Основные положения</w:t>
      </w:r>
    </w:p>
    <w:bookmarkEnd w:id="0"/>
    <w:p w14:paraId="30582560" w14:textId="77777777" w:rsidR="00536CB9" w:rsidRPr="00923AE6" w:rsidRDefault="00536CB9" w:rsidP="00536CB9">
      <w:pPr>
        <w:spacing w:after="0" w:line="240" w:lineRule="auto"/>
        <w:jc w:val="center"/>
        <w:rPr>
          <w:rFonts w:eastAsia="Calibri"/>
          <w:b/>
          <w:color w:val="auto"/>
          <w:szCs w:val="24"/>
          <w:lang w:val="ru-RU"/>
        </w:rPr>
      </w:pPr>
    </w:p>
    <w:p w14:paraId="409EADA4" w14:textId="77777777" w:rsidR="00536CB9" w:rsidRPr="00923AE6" w:rsidRDefault="00536CB9" w:rsidP="00536CB9">
      <w:pPr>
        <w:spacing w:after="0" w:line="240" w:lineRule="auto"/>
        <w:jc w:val="center"/>
        <w:rPr>
          <w:rFonts w:eastAsia="Calibri"/>
          <w:b/>
          <w:color w:val="auto"/>
          <w:szCs w:val="24"/>
          <w:lang w:val="ru-RU"/>
        </w:rPr>
      </w:pPr>
    </w:p>
    <w:p w14:paraId="22783749" w14:textId="77777777" w:rsidR="00536CB9" w:rsidRPr="00923AE6" w:rsidRDefault="00536CB9" w:rsidP="00536CB9">
      <w:pPr>
        <w:spacing w:after="0" w:line="240" w:lineRule="auto"/>
        <w:jc w:val="center"/>
        <w:rPr>
          <w:b/>
          <w:color w:val="auto"/>
          <w:szCs w:val="24"/>
          <w:lang w:val="ru-RU"/>
        </w:rPr>
      </w:pPr>
      <w:r w:rsidRPr="00923AE6">
        <w:rPr>
          <w:b/>
          <w:bCs/>
          <w:color w:val="auto"/>
          <w:szCs w:val="24"/>
          <w:lang w:val="ru-RU"/>
        </w:rPr>
        <w:t xml:space="preserve">СТ РК </w:t>
      </w:r>
    </w:p>
    <w:p w14:paraId="78EDA2AA" w14:textId="77777777" w:rsidR="00536CB9" w:rsidRPr="00923AE6" w:rsidRDefault="00536CB9" w:rsidP="00536CB9">
      <w:pPr>
        <w:spacing w:after="0" w:line="240" w:lineRule="auto"/>
        <w:jc w:val="center"/>
        <w:rPr>
          <w:b/>
          <w:color w:val="auto"/>
          <w:szCs w:val="24"/>
          <w:lang w:val="ru-RU"/>
        </w:rPr>
      </w:pPr>
    </w:p>
    <w:p w14:paraId="4F8647F9" w14:textId="77777777" w:rsidR="00536CB9" w:rsidRPr="00923AE6" w:rsidRDefault="00536CB9" w:rsidP="00536CB9">
      <w:pPr>
        <w:spacing w:after="0" w:line="240" w:lineRule="auto"/>
        <w:rPr>
          <w:i/>
          <w:color w:val="auto"/>
          <w:szCs w:val="24"/>
          <w:lang w:val="ru-RU"/>
        </w:rPr>
      </w:pPr>
    </w:p>
    <w:p w14:paraId="6D83EACE" w14:textId="77777777" w:rsidR="00536CB9" w:rsidRPr="00923AE6" w:rsidRDefault="00536CB9" w:rsidP="00536CB9">
      <w:pPr>
        <w:spacing w:after="0" w:line="240" w:lineRule="auto"/>
        <w:rPr>
          <w:rFonts w:eastAsia="Calibri"/>
          <w:i/>
          <w:color w:val="auto"/>
          <w:szCs w:val="24"/>
          <w:lang w:val="ru-RU"/>
        </w:rPr>
      </w:pPr>
    </w:p>
    <w:p w14:paraId="78D3C862" w14:textId="77777777" w:rsidR="00536CB9" w:rsidRPr="00923AE6" w:rsidRDefault="00536CB9" w:rsidP="00536CB9">
      <w:pPr>
        <w:spacing w:after="0" w:line="240" w:lineRule="auto"/>
        <w:rPr>
          <w:rFonts w:eastAsia="Calibri"/>
          <w:color w:val="auto"/>
          <w:szCs w:val="24"/>
          <w:lang w:val="ru-RU"/>
        </w:rPr>
      </w:pPr>
    </w:p>
    <w:p w14:paraId="6FBB5900" w14:textId="77777777" w:rsidR="00536CB9" w:rsidRPr="00923AE6" w:rsidRDefault="00536CB9" w:rsidP="00536CB9">
      <w:pPr>
        <w:spacing w:after="0" w:line="240" w:lineRule="auto"/>
        <w:rPr>
          <w:b/>
          <w:color w:val="auto"/>
          <w:szCs w:val="24"/>
          <w:lang w:val="ru-RU"/>
        </w:rPr>
      </w:pPr>
    </w:p>
    <w:p w14:paraId="01524985" w14:textId="77777777" w:rsidR="00536CB9" w:rsidRPr="00923AE6" w:rsidRDefault="00536CB9" w:rsidP="00536CB9">
      <w:pPr>
        <w:spacing w:after="0" w:line="240" w:lineRule="auto"/>
        <w:rPr>
          <w:b/>
          <w:color w:val="auto"/>
          <w:szCs w:val="24"/>
          <w:lang w:val="ru-RU"/>
        </w:rPr>
      </w:pPr>
    </w:p>
    <w:p w14:paraId="4CDB11D0" w14:textId="77777777" w:rsidR="00536CB9" w:rsidRPr="00923AE6" w:rsidRDefault="00536CB9" w:rsidP="00536CB9">
      <w:pPr>
        <w:spacing w:after="0" w:line="240" w:lineRule="auto"/>
        <w:jc w:val="center"/>
        <w:rPr>
          <w:b/>
          <w:color w:val="auto"/>
          <w:szCs w:val="24"/>
          <w:lang w:val="ru-RU"/>
        </w:rPr>
      </w:pPr>
    </w:p>
    <w:p w14:paraId="0B472FA2" w14:textId="77777777" w:rsidR="00536CB9" w:rsidRPr="00923AE6" w:rsidRDefault="00536CB9" w:rsidP="00536CB9">
      <w:pPr>
        <w:spacing w:after="0" w:line="240" w:lineRule="auto"/>
        <w:jc w:val="center"/>
        <w:rPr>
          <w:b/>
          <w:color w:val="auto"/>
          <w:szCs w:val="24"/>
          <w:lang w:val="ru-RU"/>
        </w:rPr>
      </w:pPr>
    </w:p>
    <w:p w14:paraId="44FB1B57" w14:textId="77777777" w:rsidR="00536CB9" w:rsidRPr="00923AE6" w:rsidRDefault="00536CB9" w:rsidP="00536CB9">
      <w:pPr>
        <w:spacing w:after="0" w:line="240" w:lineRule="auto"/>
        <w:rPr>
          <w:b/>
          <w:color w:val="auto"/>
          <w:szCs w:val="24"/>
          <w:lang w:val="kk-KZ"/>
        </w:rPr>
      </w:pPr>
    </w:p>
    <w:p w14:paraId="7054A900" w14:textId="77777777" w:rsidR="00536CB9" w:rsidRPr="00923AE6" w:rsidRDefault="00536CB9" w:rsidP="00536CB9">
      <w:pPr>
        <w:spacing w:after="0" w:line="240" w:lineRule="auto"/>
        <w:jc w:val="center"/>
        <w:rPr>
          <w:b/>
          <w:color w:val="auto"/>
          <w:szCs w:val="24"/>
          <w:lang w:val="ru-RU"/>
        </w:rPr>
      </w:pPr>
      <w:r w:rsidRPr="00923AE6">
        <w:rPr>
          <w:i/>
          <w:color w:val="auto"/>
          <w:szCs w:val="24"/>
          <w:lang w:val="ru-RU"/>
        </w:rPr>
        <w:t>Настоящий проект стандарта не подлежит применению до его утверждения</w:t>
      </w:r>
    </w:p>
    <w:p w14:paraId="7AE46161" w14:textId="77777777" w:rsidR="00536CB9" w:rsidRPr="00923AE6" w:rsidRDefault="00536CB9" w:rsidP="00536CB9">
      <w:pPr>
        <w:shd w:val="clear" w:color="auto" w:fill="FFFFFF"/>
        <w:spacing w:after="0" w:line="240" w:lineRule="auto"/>
        <w:jc w:val="center"/>
        <w:rPr>
          <w:b/>
          <w:color w:val="auto"/>
          <w:szCs w:val="24"/>
          <w:lang w:val="ru-RU"/>
        </w:rPr>
      </w:pPr>
    </w:p>
    <w:p w14:paraId="2678B429" w14:textId="77777777" w:rsidR="00536CB9" w:rsidRPr="00923AE6" w:rsidRDefault="00536CB9" w:rsidP="00536CB9">
      <w:pPr>
        <w:shd w:val="clear" w:color="auto" w:fill="FFFFFF"/>
        <w:spacing w:after="0" w:line="240" w:lineRule="auto"/>
        <w:jc w:val="center"/>
        <w:rPr>
          <w:b/>
          <w:color w:val="auto"/>
          <w:szCs w:val="24"/>
          <w:lang w:val="kk-KZ"/>
        </w:rPr>
      </w:pPr>
    </w:p>
    <w:p w14:paraId="7FA44E59" w14:textId="77777777" w:rsidR="00536CB9" w:rsidRPr="00923AE6" w:rsidRDefault="00536CB9" w:rsidP="00536CB9">
      <w:pPr>
        <w:shd w:val="clear" w:color="auto" w:fill="FFFFFF"/>
        <w:spacing w:after="0" w:line="240" w:lineRule="auto"/>
        <w:jc w:val="center"/>
        <w:rPr>
          <w:b/>
          <w:color w:val="auto"/>
          <w:szCs w:val="24"/>
          <w:lang w:val="kk-KZ"/>
        </w:rPr>
      </w:pPr>
    </w:p>
    <w:p w14:paraId="5D5EBB25" w14:textId="77777777" w:rsidR="00536CB9" w:rsidRPr="00923AE6" w:rsidRDefault="00536CB9" w:rsidP="00536CB9">
      <w:pPr>
        <w:shd w:val="clear" w:color="auto" w:fill="FFFFFF"/>
        <w:spacing w:after="0" w:line="240" w:lineRule="auto"/>
        <w:jc w:val="center"/>
        <w:rPr>
          <w:b/>
          <w:color w:val="auto"/>
          <w:szCs w:val="24"/>
          <w:lang w:val="kk-KZ"/>
        </w:rPr>
      </w:pPr>
    </w:p>
    <w:p w14:paraId="163E5C60" w14:textId="77777777" w:rsidR="00536CB9" w:rsidRPr="00923AE6" w:rsidRDefault="00536CB9" w:rsidP="00536CB9">
      <w:pPr>
        <w:shd w:val="clear" w:color="auto" w:fill="FFFFFF"/>
        <w:spacing w:after="0" w:line="240" w:lineRule="auto"/>
        <w:jc w:val="center"/>
        <w:rPr>
          <w:b/>
          <w:color w:val="auto"/>
          <w:szCs w:val="24"/>
          <w:lang w:val="kk-KZ"/>
        </w:rPr>
      </w:pPr>
    </w:p>
    <w:p w14:paraId="716A91DC" w14:textId="77777777" w:rsidR="00536CB9" w:rsidRPr="00923AE6" w:rsidRDefault="00536CB9" w:rsidP="00536CB9">
      <w:pPr>
        <w:shd w:val="clear" w:color="auto" w:fill="FFFFFF"/>
        <w:spacing w:after="0" w:line="240" w:lineRule="auto"/>
        <w:jc w:val="center"/>
        <w:rPr>
          <w:b/>
          <w:color w:val="auto"/>
          <w:szCs w:val="24"/>
          <w:lang w:val="kk-KZ"/>
        </w:rPr>
      </w:pPr>
    </w:p>
    <w:p w14:paraId="206A8D99" w14:textId="77777777" w:rsidR="00536CB9" w:rsidRPr="00923AE6" w:rsidRDefault="00536CB9" w:rsidP="00536CB9">
      <w:pPr>
        <w:shd w:val="clear" w:color="auto" w:fill="FFFFFF"/>
        <w:spacing w:after="0" w:line="240" w:lineRule="auto"/>
        <w:jc w:val="center"/>
        <w:rPr>
          <w:b/>
          <w:color w:val="auto"/>
          <w:szCs w:val="24"/>
          <w:lang w:val="kk-KZ"/>
        </w:rPr>
      </w:pPr>
    </w:p>
    <w:p w14:paraId="32C6F6FB" w14:textId="77777777" w:rsidR="00536CB9" w:rsidRPr="00923AE6" w:rsidRDefault="00536CB9" w:rsidP="00536CB9">
      <w:pPr>
        <w:shd w:val="clear" w:color="auto" w:fill="FFFFFF"/>
        <w:spacing w:after="0" w:line="240" w:lineRule="auto"/>
        <w:jc w:val="center"/>
        <w:rPr>
          <w:b/>
          <w:color w:val="auto"/>
          <w:szCs w:val="24"/>
          <w:lang w:val="kk-KZ"/>
        </w:rPr>
      </w:pPr>
    </w:p>
    <w:p w14:paraId="15FDD134" w14:textId="77777777" w:rsidR="00536CB9" w:rsidRDefault="00536CB9" w:rsidP="00536CB9">
      <w:pPr>
        <w:shd w:val="clear" w:color="auto" w:fill="FFFFFF"/>
        <w:spacing w:after="0" w:line="240" w:lineRule="auto"/>
        <w:jc w:val="center"/>
        <w:rPr>
          <w:b/>
          <w:color w:val="auto"/>
          <w:szCs w:val="24"/>
          <w:lang w:val="kk-KZ"/>
        </w:rPr>
      </w:pPr>
    </w:p>
    <w:p w14:paraId="454F7F72" w14:textId="77777777" w:rsidR="00943566" w:rsidRPr="006E4316" w:rsidRDefault="00943566" w:rsidP="00536CB9">
      <w:pPr>
        <w:shd w:val="clear" w:color="auto" w:fill="FFFFFF"/>
        <w:spacing w:after="0" w:line="240" w:lineRule="auto"/>
        <w:jc w:val="center"/>
        <w:rPr>
          <w:b/>
          <w:color w:val="auto"/>
          <w:szCs w:val="24"/>
          <w:lang w:val="ru-RU"/>
        </w:rPr>
      </w:pPr>
    </w:p>
    <w:p w14:paraId="15D9242A" w14:textId="77777777" w:rsidR="00536CB9" w:rsidRPr="00923AE6" w:rsidRDefault="00536CB9" w:rsidP="00536CB9">
      <w:pPr>
        <w:shd w:val="clear" w:color="auto" w:fill="FFFFFF"/>
        <w:spacing w:after="0" w:line="240" w:lineRule="auto"/>
        <w:jc w:val="center"/>
        <w:rPr>
          <w:b/>
          <w:color w:val="auto"/>
          <w:szCs w:val="24"/>
          <w:lang w:val="kk-KZ"/>
        </w:rPr>
      </w:pPr>
    </w:p>
    <w:p w14:paraId="464D1A60" w14:textId="77777777" w:rsidR="00536CB9" w:rsidRPr="00923AE6" w:rsidRDefault="00536CB9" w:rsidP="00536CB9">
      <w:pPr>
        <w:shd w:val="clear" w:color="auto" w:fill="FFFFFF"/>
        <w:spacing w:after="0" w:line="240" w:lineRule="auto"/>
        <w:jc w:val="center"/>
        <w:rPr>
          <w:b/>
          <w:color w:val="auto"/>
          <w:szCs w:val="24"/>
          <w:lang w:val="kk-KZ"/>
        </w:rPr>
      </w:pPr>
      <w:r w:rsidRPr="00923AE6">
        <w:rPr>
          <w:b/>
          <w:color w:val="auto"/>
          <w:szCs w:val="24"/>
          <w:lang w:val="kk-KZ"/>
        </w:rPr>
        <w:t>Комитет технического регулирования и метрологии</w:t>
      </w:r>
    </w:p>
    <w:p w14:paraId="16F9BAC8" w14:textId="77777777" w:rsidR="00536CB9" w:rsidRPr="00923AE6" w:rsidRDefault="00536CB9" w:rsidP="00536CB9">
      <w:pPr>
        <w:shd w:val="clear" w:color="auto" w:fill="FFFFFF"/>
        <w:spacing w:after="0" w:line="240" w:lineRule="auto"/>
        <w:jc w:val="center"/>
        <w:rPr>
          <w:b/>
          <w:color w:val="auto"/>
          <w:szCs w:val="24"/>
          <w:lang w:val="kk-KZ"/>
        </w:rPr>
      </w:pPr>
      <w:r w:rsidRPr="00923AE6">
        <w:rPr>
          <w:b/>
          <w:color w:val="auto"/>
          <w:szCs w:val="24"/>
          <w:lang w:val="kk-KZ"/>
        </w:rPr>
        <w:t>Министерства торговли и интеграции Республики Казахстан</w:t>
      </w:r>
    </w:p>
    <w:p w14:paraId="057F3F56" w14:textId="77777777" w:rsidR="00536CB9" w:rsidRPr="00923AE6" w:rsidRDefault="00536CB9" w:rsidP="00536CB9">
      <w:pPr>
        <w:shd w:val="clear" w:color="auto" w:fill="FFFFFF"/>
        <w:spacing w:after="0" w:line="240" w:lineRule="auto"/>
        <w:jc w:val="center"/>
        <w:rPr>
          <w:b/>
          <w:color w:val="auto"/>
          <w:szCs w:val="24"/>
          <w:lang w:val="kk-KZ"/>
        </w:rPr>
      </w:pPr>
      <w:r w:rsidRPr="00923AE6">
        <w:rPr>
          <w:b/>
          <w:color w:val="auto"/>
          <w:szCs w:val="24"/>
          <w:lang w:val="kk-KZ"/>
        </w:rPr>
        <w:t>(Госстандарт)</w:t>
      </w:r>
    </w:p>
    <w:p w14:paraId="7DAD6DF3" w14:textId="77777777" w:rsidR="00536CB9" w:rsidRPr="00923AE6" w:rsidRDefault="00536CB9" w:rsidP="00536CB9">
      <w:pPr>
        <w:shd w:val="clear" w:color="auto" w:fill="FFFFFF"/>
        <w:spacing w:after="0" w:line="240" w:lineRule="auto"/>
        <w:jc w:val="center"/>
        <w:rPr>
          <w:b/>
          <w:color w:val="auto"/>
          <w:szCs w:val="24"/>
          <w:lang w:val="kk-KZ"/>
        </w:rPr>
      </w:pPr>
    </w:p>
    <w:p w14:paraId="01600DD3" w14:textId="77777777" w:rsidR="00536CB9" w:rsidRPr="00923AE6" w:rsidRDefault="00536CB9" w:rsidP="00536CB9">
      <w:pPr>
        <w:tabs>
          <w:tab w:val="center" w:pos="4677"/>
          <w:tab w:val="left" w:pos="7980"/>
        </w:tabs>
        <w:spacing w:after="0" w:line="240" w:lineRule="auto"/>
        <w:jc w:val="center"/>
        <w:rPr>
          <w:b/>
          <w:bCs/>
          <w:color w:val="auto"/>
          <w:spacing w:val="3"/>
          <w:szCs w:val="24"/>
          <w:lang w:val="ru-RU"/>
        </w:rPr>
      </w:pPr>
      <w:r w:rsidRPr="00923AE6">
        <w:rPr>
          <w:b/>
          <w:color w:val="auto"/>
          <w:szCs w:val="24"/>
          <w:lang w:val="kk-KZ"/>
        </w:rPr>
        <w:t>Астана</w:t>
      </w:r>
    </w:p>
    <w:p w14:paraId="3E860C3B" w14:textId="77777777" w:rsidR="002D32D5" w:rsidRDefault="002D32D5" w:rsidP="002D32D5">
      <w:pPr>
        <w:tabs>
          <w:tab w:val="center" w:pos="4677"/>
          <w:tab w:val="left" w:pos="7980"/>
        </w:tabs>
        <w:spacing w:after="0" w:line="240" w:lineRule="auto"/>
        <w:ind w:firstLine="567"/>
        <w:jc w:val="right"/>
        <w:rPr>
          <w:szCs w:val="24"/>
          <w:lang w:val="ru-RU"/>
        </w:rPr>
      </w:pPr>
    </w:p>
    <w:p w14:paraId="37901657" w14:textId="77777777" w:rsidR="002D32D5" w:rsidRDefault="002D32D5" w:rsidP="00536CB9">
      <w:pPr>
        <w:tabs>
          <w:tab w:val="center" w:pos="4677"/>
          <w:tab w:val="left" w:pos="7980"/>
        </w:tabs>
        <w:spacing w:after="0" w:line="240" w:lineRule="auto"/>
        <w:ind w:firstLine="567"/>
        <w:jc w:val="center"/>
        <w:rPr>
          <w:szCs w:val="24"/>
          <w:lang w:val="ru-RU"/>
        </w:rPr>
      </w:pPr>
    </w:p>
    <w:p w14:paraId="2DB5D874" w14:textId="77777777" w:rsidR="00536CB9" w:rsidRPr="00923AE6" w:rsidRDefault="00536CB9" w:rsidP="00536CB9">
      <w:pPr>
        <w:tabs>
          <w:tab w:val="center" w:pos="4677"/>
          <w:tab w:val="left" w:pos="7980"/>
        </w:tabs>
        <w:spacing w:after="0" w:line="240" w:lineRule="auto"/>
        <w:ind w:firstLine="567"/>
        <w:jc w:val="center"/>
        <w:rPr>
          <w:b/>
          <w:bCs/>
          <w:color w:val="auto"/>
          <w:spacing w:val="3"/>
          <w:szCs w:val="24"/>
          <w:lang w:val="ru-RU"/>
        </w:rPr>
      </w:pPr>
      <w:r w:rsidRPr="002D32D5">
        <w:rPr>
          <w:szCs w:val="24"/>
          <w:lang w:val="ru-RU"/>
        </w:rPr>
        <w:br w:type="page"/>
      </w:r>
      <w:r w:rsidRPr="00923AE6">
        <w:rPr>
          <w:b/>
          <w:bCs/>
          <w:color w:val="auto"/>
          <w:spacing w:val="3"/>
          <w:szCs w:val="24"/>
          <w:lang w:val="ru-RU"/>
        </w:rPr>
        <w:lastRenderedPageBreak/>
        <w:t>Предисловие</w:t>
      </w:r>
    </w:p>
    <w:p w14:paraId="343DB39B" w14:textId="77777777" w:rsidR="00536CB9" w:rsidRPr="00923AE6" w:rsidRDefault="00536CB9" w:rsidP="00536CB9">
      <w:pPr>
        <w:tabs>
          <w:tab w:val="center" w:pos="4677"/>
          <w:tab w:val="left" w:pos="7980"/>
        </w:tabs>
        <w:spacing w:after="0" w:line="240" w:lineRule="auto"/>
        <w:jc w:val="center"/>
        <w:rPr>
          <w:b/>
          <w:bCs/>
          <w:color w:val="auto"/>
          <w:spacing w:val="3"/>
          <w:szCs w:val="24"/>
          <w:lang w:val="ru-RU"/>
        </w:rPr>
      </w:pPr>
    </w:p>
    <w:p w14:paraId="3E201681" w14:textId="77777777" w:rsidR="00536CB9" w:rsidRPr="00923AE6" w:rsidRDefault="00536CB9" w:rsidP="00536CB9">
      <w:pPr>
        <w:pStyle w:val="CM15"/>
        <w:spacing w:after="0"/>
        <w:ind w:firstLine="567"/>
        <w:jc w:val="both"/>
      </w:pPr>
      <w:r w:rsidRPr="00923AE6">
        <w:rPr>
          <w:b/>
          <w:bCs/>
        </w:rPr>
        <w:t>1</w:t>
      </w:r>
      <w:r w:rsidRPr="00923AE6">
        <w:t xml:space="preserve"> </w:t>
      </w:r>
      <w:r w:rsidRPr="00923AE6">
        <w:rPr>
          <w:b/>
          <w:bCs/>
        </w:rPr>
        <w:t>РАЗРАБОТАН</w:t>
      </w:r>
      <w:r w:rsidRPr="00923AE6">
        <w:t xml:space="preserve"> </w:t>
      </w:r>
      <w:r w:rsidRPr="00923AE6">
        <w:rPr>
          <w:b/>
          <w:bCs/>
        </w:rPr>
        <w:t>И ВНЕСЕН</w:t>
      </w:r>
      <w:r w:rsidRPr="00923AE6">
        <w:t xml:space="preserve"> Республиканским государственным предприятием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w:t>
      </w:r>
    </w:p>
    <w:p w14:paraId="700C1A7E" w14:textId="77777777" w:rsidR="00536CB9" w:rsidRPr="00923AE6" w:rsidRDefault="00536CB9" w:rsidP="00536CB9">
      <w:pPr>
        <w:spacing w:after="0" w:line="240" w:lineRule="auto"/>
        <w:ind w:firstLine="567"/>
        <w:rPr>
          <w:color w:val="auto"/>
          <w:szCs w:val="24"/>
          <w:lang w:val="ru-RU"/>
        </w:rPr>
      </w:pPr>
    </w:p>
    <w:p w14:paraId="1B61467E" w14:textId="77777777" w:rsidR="00536CB9" w:rsidRPr="00923AE6" w:rsidRDefault="00536CB9" w:rsidP="00536CB9">
      <w:pPr>
        <w:pStyle w:val="CM15"/>
        <w:spacing w:after="0"/>
        <w:ind w:firstLine="567"/>
        <w:jc w:val="both"/>
      </w:pPr>
      <w:r w:rsidRPr="00923AE6">
        <w:rPr>
          <w:b/>
          <w:bCs/>
        </w:rPr>
        <w:t xml:space="preserve">2 УТВЕРЖДЕН И ВВЕДЕН В ДЕЙСТВИЕ </w:t>
      </w:r>
      <w:r w:rsidRPr="00923AE6">
        <w:rPr>
          <w:bCs/>
        </w:rPr>
        <w:t>П</w:t>
      </w:r>
      <w:r w:rsidRPr="00923AE6">
        <w:t>риказом Председателя Комитета технического регулирования и метрологии Министерства торговли и интеграции Республики Казахстан __.___. 20__г №_________.</w:t>
      </w:r>
    </w:p>
    <w:p w14:paraId="7DDA06D8" w14:textId="77777777" w:rsidR="00536CB9" w:rsidRPr="00923AE6" w:rsidRDefault="00536CB9" w:rsidP="00536CB9">
      <w:pPr>
        <w:spacing w:after="0" w:line="240" w:lineRule="auto"/>
        <w:ind w:firstLine="567"/>
        <w:rPr>
          <w:color w:val="auto"/>
          <w:szCs w:val="24"/>
          <w:lang w:val="ru-RU"/>
        </w:rPr>
      </w:pPr>
    </w:p>
    <w:p w14:paraId="304579B7" w14:textId="77777777" w:rsidR="00536CB9" w:rsidRPr="00923AE6" w:rsidRDefault="00536CB9" w:rsidP="00536CB9">
      <w:pPr>
        <w:spacing w:after="0" w:line="240" w:lineRule="auto"/>
        <w:ind w:firstLine="557"/>
        <w:rPr>
          <w:color w:val="auto"/>
          <w:szCs w:val="24"/>
          <w:lang w:val="ru-RU"/>
        </w:rPr>
      </w:pPr>
      <w:r w:rsidRPr="00923AE6">
        <w:rPr>
          <w:b/>
          <w:color w:val="auto"/>
          <w:szCs w:val="24"/>
          <w:lang w:val="ru-RU"/>
        </w:rPr>
        <w:t>3</w:t>
      </w:r>
      <w:r w:rsidRPr="00923AE6">
        <w:rPr>
          <w:color w:val="auto"/>
          <w:szCs w:val="24"/>
          <w:lang w:val="ru-RU"/>
        </w:rPr>
        <w:t xml:space="preserve"> В настоящем стандарте реализованы нормы Закона Республики Казахстан </w:t>
      </w:r>
      <w:r w:rsidRPr="00923AE6">
        <w:rPr>
          <w:color w:val="auto"/>
          <w:spacing w:val="2"/>
          <w:szCs w:val="24"/>
          <w:lang w:val="ru-RU"/>
        </w:rPr>
        <w:t xml:space="preserve">от 10 июля 2002 года </w:t>
      </w:r>
      <w:r w:rsidRPr="00923AE6">
        <w:rPr>
          <w:color w:val="auto"/>
          <w:spacing w:val="2"/>
          <w:szCs w:val="24"/>
        </w:rPr>
        <w:t>N</w:t>
      </w:r>
      <w:r w:rsidRPr="00923AE6">
        <w:rPr>
          <w:color w:val="auto"/>
          <w:spacing w:val="2"/>
          <w:szCs w:val="24"/>
          <w:lang w:val="ru-RU"/>
        </w:rPr>
        <w:t xml:space="preserve"> 339</w:t>
      </w:r>
      <w:r w:rsidRPr="00923AE6">
        <w:rPr>
          <w:color w:val="auto"/>
          <w:szCs w:val="24"/>
          <w:lang w:val="ru-RU"/>
        </w:rPr>
        <w:t xml:space="preserve"> «</w:t>
      </w:r>
      <w:r w:rsidRPr="00923AE6">
        <w:rPr>
          <w:bCs/>
          <w:color w:val="auto"/>
          <w:szCs w:val="24"/>
          <w:lang w:val="ru-RU"/>
        </w:rPr>
        <w:t xml:space="preserve">О ветеринарии», Закона Республики Казахстан </w:t>
      </w:r>
      <w:r w:rsidRPr="00923AE6">
        <w:rPr>
          <w:color w:val="auto"/>
          <w:spacing w:val="2"/>
          <w:szCs w:val="24"/>
          <w:lang w:val="ru-RU"/>
        </w:rPr>
        <w:t>от 5 октября 2018 года № 183-</w:t>
      </w:r>
      <w:r w:rsidRPr="00923AE6">
        <w:rPr>
          <w:color w:val="auto"/>
          <w:spacing w:val="2"/>
          <w:szCs w:val="24"/>
        </w:rPr>
        <w:t>V</w:t>
      </w:r>
      <w:r w:rsidRPr="00923AE6">
        <w:rPr>
          <w:color w:val="auto"/>
          <w:spacing w:val="2"/>
          <w:szCs w:val="24"/>
          <w:lang w:val="ru-RU"/>
        </w:rPr>
        <w:t>І</w:t>
      </w:r>
      <w:r w:rsidRPr="00923AE6">
        <w:rPr>
          <w:bCs/>
          <w:color w:val="auto"/>
          <w:szCs w:val="24"/>
          <w:lang w:val="ru-RU"/>
        </w:rPr>
        <w:t xml:space="preserve"> «О стандартизации».</w:t>
      </w:r>
    </w:p>
    <w:p w14:paraId="745B3506" w14:textId="77777777" w:rsidR="00536CB9" w:rsidRPr="00923AE6" w:rsidRDefault="00536CB9" w:rsidP="00536CB9">
      <w:pPr>
        <w:spacing w:after="0" w:line="240" w:lineRule="auto"/>
        <w:ind w:firstLine="567"/>
        <w:rPr>
          <w:color w:val="auto"/>
          <w:szCs w:val="24"/>
          <w:lang w:val="kk-KZ"/>
        </w:rPr>
      </w:pPr>
    </w:p>
    <w:p w14:paraId="6A0E1552" w14:textId="77777777" w:rsidR="00536CB9" w:rsidRPr="00923AE6" w:rsidRDefault="00536CB9" w:rsidP="00536CB9">
      <w:pPr>
        <w:spacing w:after="0" w:line="240" w:lineRule="auto"/>
        <w:ind w:firstLine="567"/>
        <w:rPr>
          <w:b/>
          <w:color w:val="auto"/>
          <w:szCs w:val="24"/>
          <w:lang w:val="ru-RU"/>
        </w:rPr>
      </w:pPr>
      <w:r w:rsidRPr="00923AE6">
        <w:rPr>
          <w:b/>
          <w:bCs/>
          <w:color w:val="auto"/>
          <w:szCs w:val="24"/>
          <w:lang w:val="ru-RU"/>
        </w:rPr>
        <w:t>4 ВВЕДЕН ВПЕРВЫЕ</w:t>
      </w:r>
    </w:p>
    <w:p w14:paraId="3954EB97"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09DEE2EA"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46B3E36E"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7E28C42E"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7CFB1503"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4762217B"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1AAB3C3C"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36328764"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4B80C6A4"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26516E14"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1CF8A958"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0A8551AA"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379A9F2E"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41D978EF"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4F013EC4"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7DD1CC27"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7491E408"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1BE60E74" w14:textId="77777777" w:rsidR="00536CB9" w:rsidRPr="00923AE6" w:rsidRDefault="00536CB9" w:rsidP="00536CB9">
      <w:pPr>
        <w:pStyle w:val="Style16"/>
        <w:widowControl/>
        <w:rPr>
          <w:rStyle w:val="FontStyle59"/>
          <w:rFonts w:ascii="Times New Roman" w:hAnsi="Times New Roman" w:cs="Times New Roman"/>
          <w:bCs/>
          <w:color w:val="auto"/>
          <w:lang w:val="kk-KZ" w:eastAsia="en-US"/>
        </w:rPr>
      </w:pPr>
    </w:p>
    <w:p w14:paraId="63C5423E" w14:textId="77777777" w:rsidR="00536CB9" w:rsidRPr="00923AE6" w:rsidRDefault="00536CB9" w:rsidP="00536CB9">
      <w:pPr>
        <w:pStyle w:val="Style16"/>
        <w:widowControl/>
        <w:ind w:firstLine="567"/>
        <w:rPr>
          <w:rStyle w:val="FontStyle59"/>
          <w:rFonts w:ascii="Times New Roman" w:hAnsi="Times New Roman" w:cs="Times New Roman"/>
          <w:bCs/>
          <w:color w:val="auto"/>
          <w:lang w:val="kk-KZ" w:eastAsia="en-US"/>
        </w:rPr>
      </w:pPr>
      <w:r w:rsidRPr="00923AE6">
        <w:rPr>
          <w:rFonts w:ascii="Times New Roman" w:hAnsi="Times New Roman" w:cs="Times New Roman"/>
          <w:i/>
          <w:iCs/>
        </w:rPr>
        <w:t>Информация об изменениях к настоящему стандарту публикуется в ежегодно издаваемом информационном каталоге «Документы по стандартизации», а текст изменений и поправок – в периодически издаваемом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периодически издаваемом информационном указателе «Национальные стандарты»</w:t>
      </w:r>
    </w:p>
    <w:p w14:paraId="218B3704" w14:textId="77777777" w:rsidR="00536CB9" w:rsidRPr="00923AE6" w:rsidRDefault="00536CB9" w:rsidP="00536CB9">
      <w:pPr>
        <w:pStyle w:val="Style16"/>
        <w:widowControl/>
        <w:rPr>
          <w:rStyle w:val="FontStyle59"/>
          <w:rFonts w:ascii="Times New Roman" w:hAnsi="Times New Roman" w:cs="Times New Roman"/>
          <w:bCs/>
          <w:color w:val="auto"/>
          <w:lang w:val="kk-KZ" w:eastAsia="en-US"/>
        </w:rPr>
      </w:pPr>
    </w:p>
    <w:p w14:paraId="74CA5CE8" w14:textId="77777777" w:rsidR="00536CB9" w:rsidRPr="00923AE6" w:rsidRDefault="00536CB9" w:rsidP="00536CB9">
      <w:pPr>
        <w:pStyle w:val="Style16"/>
        <w:widowControl/>
        <w:ind w:firstLine="567"/>
        <w:rPr>
          <w:rFonts w:ascii="Times New Roman" w:hAnsi="Times New Roman" w:cs="Times New Roman"/>
        </w:rPr>
      </w:pPr>
    </w:p>
    <w:p w14:paraId="125B22ED" w14:textId="77777777" w:rsidR="00536CB9" w:rsidRPr="00923AE6" w:rsidRDefault="00536CB9" w:rsidP="00536CB9">
      <w:pPr>
        <w:pStyle w:val="Style16"/>
        <w:widowControl/>
        <w:ind w:firstLine="567"/>
        <w:rPr>
          <w:rFonts w:ascii="Times New Roman" w:hAnsi="Times New Roman" w:cs="Times New Roman"/>
        </w:rPr>
      </w:pPr>
    </w:p>
    <w:p w14:paraId="4D578E47" w14:textId="77777777" w:rsidR="00536CB9" w:rsidRPr="00923AE6" w:rsidRDefault="00536CB9" w:rsidP="00536CB9">
      <w:pPr>
        <w:pStyle w:val="Style16"/>
        <w:widowControl/>
        <w:ind w:firstLine="567"/>
        <w:rPr>
          <w:rFonts w:ascii="Times New Roman" w:hAnsi="Times New Roman" w:cs="Times New Roman"/>
        </w:rPr>
      </w:pPr>
    </w:p>
    <w:p w14:paraId="32FA0BC4" w14:textId="77777777" w:rsidR="00536CB9" w:rsidRPr="00923AE6" w:rsidRDefault="00536CB9" w:rsidP="00536CB9">
      <w:pPr>
        <w:pStyle w:val="Style16"/>
        <w:widowControl/>
        <w:ind w:firstLine="567"/>
        <w:rPr>
          <w:rFonts w:ascii="Times New Roman" w:hAnsi="Times New Roman" w:cs="Times New Roman"/>
        </w:rPr>
      </w:pPr>
      <w:r w:rsidRPr="00923AE6">
        <w:rPr>
          <w:rFonts w:ascii="Times New Roman" w:hAnsi="Times New Roman" w:cs="Times New Roman"/>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w:t>
      </w:r>
    </w:p>
    <w:p w14:paraId="3DA22D1A" w14:textId="77777777" w:rsidR="00536CB9" w:rsidRPr="00923AE6" w:rsidRDefault="00536CB9" w:rsidP="00536CB9">
      <w:pPr>
        <w:spacing w:after="0" w:line="240" w:lineRule="auto"/>
        <w:ind w:left="0" w:right="0" w:firstLine="0"/>
        <w:jc w:val="left"/>
        <w:rPr>
          <w:color w:val="auto"/>
          <w:shd w:val="clear" w:color="auto" w:fill="FFFFFF"/>
          <w:lang w:val="ru-RU"/>
        </w:rPr>
      </w:pPr>
      <w:r w:rsidRPr="00923AE6">
        <w:rPr>
          <w:color w:val="auto"/>
          <w:shd w:val="clear" w:color="auto" w:fill="FFFFFF"/>
          <w:lang w:val="ru-RU"/>
        </w:rPr>
        <w:br w:type="page"/>
      </w:r>
    </w:p>
    <w:p w14:paraId="11A9228D" w14:textId="77777777" w:rsidR="00FF1CD8" w:rsidRPr="00923AE6" w:rsidRDefault="00FF1CD8" w:rsidP="00FF1CD8">
      <w:pPr>
        <w:spacing w:after="0" w:line="240" w:lineRule="auto"/>
        <w:ind w:left="0" w:right="0" w:firstLine="567"/>
        <w:jc w:val="center"/>
        <w:rPr>
          <w:b/>
          <w:color w:val="auto"/>
          <w:shd w:val="clear" w:color="auto" w:fill="FFFFFF"/>
          <w:lang w:val="ru-RU"/>
        </w:rPr>
      </w:pPr>
      <w:r w:rsidRPr="00923AE6">
        <w:rPr>
          <w:b/>
          <w:color w:val="auto"/>
          <w:shd w:val="clear" w:color="auto" w:fill="FFFFFF"/>
          <w:lang w:val="ru-RU"/>
        </w:rPr>
        <w:lastRenderedPageBreak/>
        <w:t>Введение</w:t>
      </w:r>
    </w:p>
    <w:p w14:paraId="209F487A" w14:textId="77777777" w:rsidR="00FF1CD8" w:rsidRPr="00923AE6" w:rsidRDefault="00FF1CD8" w:rsidP="00FF1CD8">
      <w:pPr>
        <w:spacing w:after="0" w:line="240" w:lineRule="auto"/>
        <w:ind w:left="0" w:right="0" w:firstLine="567"/>
        <w:rPr>
          <w:color w:val="auto"/>
          <w:shd w:val="clear" w:color="auto" w:fill="FFFFFF"/>
          <w:lang w:val="ru-RU"/>
        </w:rPr>
      </w:pPr>
    </w:p>
    <w:p w14:paraId="19AC2E37" w14:textId="77777777" w:rsidR="00DB12B4" w:rsidRPr="00DB12B4" w:rsidRDefault="00DB12B4" w:rsidP="00DB12B4">
      <w:pPr>
        <w:spacing w:after="0" w:line="240" w:lineRule="auto"/>
        <w:ind w:left="0" w:right="0" w:firstLine="567"/>
        <w:rPr>
          <w:color w:val="auto"/>
          <w:lang w:val="ru-RU"/>
        </w:rPr>
      </w:pPr>
      <w:r w:rsidRPr="00DB12B4">
        <w:rPr>
          <w:color w:val="auto"/>
          <w:lang w:val="ru-RU"/>
        </w:rPr>
        <w:t xml:space="preserve">Болезнь </w:t>
      </w:r>
      <w:proofErr w:type="spellStart"/>
      <w:r w:rsidRPr="00DB12B4">
        <w:rPr>
          <w:color w:val="auto"/>
          <w:lang w:val="ru-RU"/>
        </w:rPr>
        <w:t>Ауески</w:t>
      </w:r>
      <w:proofErr w:type="spellEnd"/>
      <w:r w:rsidRPr="00DB12B4">
        <w:rPr>
          <w:color w:val="auto"/>
          <w:lang w:val="ru-RU"/>
        </w:rPr>
        <w:t xml:space="preserve"> </w:t>
      </w:r>
      <w:r>
        <w:rPr>
          <w:color w:val="auto"/>
          <w:lang w:val="ru-RU"/>
        </w:rPr>
        <w:t>и</w:t>
      </w:r>
      <w:r w:rsidRPr="00DB12B4">
        <w:rPr>
          <w:color w:val="auto"/>
          <w:lang w:val="ru-RU"/>
        </w:rPr>
        <w:t>звестна как инфекционный бульбарный паралич (</w:t>
      </w:r>
      <w:proofErr w:type="spellStart"/>
      <w:r w:rsidRPr="00DB12B4">
        <w:rPr>
          <w:color w:val="auto"/>
          <w:lang w:val="ru-RU"/>
        </w:rPr>
        <w:t>псевдобешенство</w:t>
      </w:r>
      <w:proofErr w:type="spellEnd"/>
      <w:r w:rsidRPr="00DB12B4">
        <w:rPr>
          <w:color w:val="auto"/>
          <w:lang w:val="ru-RU"/>
        </w:rPr>
        <w:t xml:space="preserve">), болезнь вызвана </w:t>
      </w:r>
      <w:proofErr w:type="spellStart"/>
      <w:r w:rsidRPr="00DB12B4">
        <w:rPr>
          <w:color w:val="auto"/>
          <w:lang w:val="ru-RU"/>
        </w:rPr>
        <w:t>альфагерпесвирусами</w:t>
      </w:r>
      <w:proofErr w:type="spellEnd"/>
      <w:r w:rsidRPr="00DB12B4">
        <w:rPr>
          <w:color w:val="auto"/>
          <w:lang w:val="ru-RU"/>
        </w:rPr>
        <w:t xml:space="preserve"> (или α-герпесвирусами), которые поражают центральную нервную систему и другие органы, такие как респираторный тракт у различных млекопитающих, за исключением человека и бесхвостых приматов (высших обезьян). Это в первую очередь связано с семейством Свиньи (свиньи или дикие кабаны), естественным хозяином, который остается скрытно инфицированным после клинического выздоровления, (за исключением поросят возрастом до 2 недель, которые умирают от энцефалита. Болезнь находится под контролем путем сдерживания (на карантине) инфицированного стада и путем применения вакцин и устранения скрытно инфицированных животных. </w:t>
      </w:r>
    </w:p>
    <w:p w14:paraId="7D75A8CD" w14:textId="77777777" w:rsidR="00DB12B4" w:rsidRDefault="00DB12B4" w:rsidP="00DB12B4">
      <w:pPr>
        <w:spacing w:after="0" w:line="240" w:lineRule="auto"/>
        <w:ind w:left="0" w:right="0" w:firstLine="567"/>
        <w:rPr>
          <w:color w:val="auto"/>
          <w:lang w:val="ru-RU"/>
        </w:rPr>
      </w:pPr>
      <w:r w:rsidRPr="00DB12B4">
        <w:rPr>
          <w:color w:val="auto"/>
          <w:lang w:val="ru-RU"/>
        </w:rPr>
        <w:t xml:space="preserve">Диагноз болезни </w:t>
      </w:r>
      <w:proofErr w:type="spellStart"/>
      <w:r w:rsidRPr="00DB12B4">
        <w:rPr>
          <w:color w:val="auto"/>
          <w:lang w:val="ru-RU"/>
        </w:rPr>
        <w:t>Ауески</w:t>
      </w:r>
      <w:proofErr w:type="spellEnd"/>
      <w:r w:rsidRPr="00DB12B4">
        <w:rPr>
          <w:color w:val="auto"/>
          <w:lang w:val="ru-RU"/>
        </w:rPr>
        <w:t xml:space="preserve"> устанавливается обнаружением возбудителя (выделением вируса или цепной реакцией полимеризации (ПЦР)), а также выявлением серологической реакции у живого животного.</w:t>
      </w:r>
    </w:p>
    <w:p w14:paraId="25D9C2DA" w14:textId="77777777" w:rsidR="0049032D" w:rsidRPr="0049032D" w:rsidRDefault="0049032D" w:rsidP="0049032D">
      <w:pPr>
        <w:spacing w:after="0" w:line="240" w:lineRule="auto"/>
        <w:ind w:left="0" w:right="0" w:firstLine="567"/>
        <w:rPr>
          <w:color w:val="auto"/>
          <w:lang w:val="ru-RU"/>
        </w:rPr>
      </w:pPr>
      <w:r w:rsidRPr="0049032D">
        <w:rPr>
          <w:b/>
          <w:bCs/>
          <w:color w:val="auto"/>
          <w:lang w:val="ru-RU"/>
        </w:rPr>
        <w:t>Идентификация возбудителя:</w:t>
      </w:r>
      <w:r w:rsidRPr="0049032D">
        <w:rPr>
          <w:color w:val="auto"/>
          <w:lang w:val="ru-RU"/>
        </w:rPr>
        <w:t xml:space="preserve"> Выделение вируса болезни </w:t>
      </w:r>
      <w:proofErr w:type="spellStart"/>
      <w:r w:rsidRPr="0049032D">
        <w:rPr>
          <w:color w:val="auto"/>
          <w:lang w:val="ru-RU"/>
        </w:rPr>
        <w:t>Ауески</w:t>
      </w:r>
      <w:proofErr w:type="spellEnd"/>
      <w:r w:rsidRPr="0049032D">
        <w:rPr>
          <w:color w:val="auto"/>
          <w:lang w:val="ru-RU"/>
        </w:rPr>
        <w:t xml:space="preserve"> может быть произведено путем инокуляции </w:t>
      </w:r>
      <w:proofErr w:type="spellStart"/>
      <w:r w:rsidRPr="0049032D">
        <w:rPr>
          <w:color w:val="auto"/>
          <w:lang w:val="ru-RU"/>
        </w:rPr>
        <w:t>гомогената</w:t>
      </w:r>
      <w:proofErr w:type="spellEnd"/>
      <w:r w:rsidRPr="0049032D">
        <w:rPr>
          <w:color w:val="auto"/>
          <w:lang w:val="ru-RU"/>
        </w:rPr>
        <w:t xml:space="preserve"> ткани, например, головного мозга и миндалин, или материала, взятого из носа/горла, в восприимчивую клеточную линию, такую как свиная почка (PK-15 или SK6) или первичные или вторичные почечные клетки. Специфичность </w:t>
      </w:r>
      <w:proofErr w:type="spellStart"/>
      <w:r w:rsidRPr="0049032D">
        <w:rPr>
          <w:color w:val="auto"/>
          <w:lang w:val="ru-RU"/>
        </w:rPr>
        <w:t>цитопатического</w:t>
      </w:r>
      <w:proofErr w:type="spellEnd"/>
      <w:r w:rsidRPr="0049032D">
        <w:rPr>
          <w:color w:val="auto"/>
          <w:lang w:val="ru-RU"/>
        </w:rPr>
        <w:t xml:space="preserve"> действия верифицируется с помощью </w:t>
      </w:r>
      <w:proofErr w:type="spellStart"/>
      <w:r w:rsidRPr="0049032D">
        <w:rPr>
          <w:color w:val="auto"/>
          <w:lang w:val="ru-RU"/>
        </w:rPr>
        <w:t>иммунофлуоресценции</w:t>
      </w:r>
      <w:proofErr w:type="spellEnd"/>
      <w:r w:rsidRPr="0049032D">
        <w:rPr>
          <w:color w:val="auto"/>
          <w:lang w:val="ru-RU"/>
        </w:rPr>
        <w:t xml:space="preserve">, </w:t>
      </w:r>
      <w:proofErr w:type="spellStart"/>
      <w:r w:rsidRPr="0049032D">
        <w:rPr>
          <w:color w:val="auto"/>
          <w:lang w:val="ru-RU"/>
        </w:rPr>
        <w:t>иммунопероксидазы</w:t>
      </w:r>
      <w:proofErr w:type="spellEnd"/>
      <w:r w:rsidRPr="0049032D">
        <w:rPr>
          <w:color w:val="auto"/>
          <w:lang w:val="ru-RU"/>
        </w:rPr>
        <w:t xml:space="preserve"> или нейтрализации специфической </w:t>
      </w:r>
      <w:proofErr w:type="spellStart"/>
      <w:r w:rsidRPr="0049032D">
        <w:rPr>
          <w:color w:val="auto"/>
          <w:lang w:val="ru-RU"/>
        </w:rPr>
        <w:t>антисывороткой</w:t>
      </w:r>
      <w:proofErr w:type="spellEnd"/>
      <w:r w:rsidRPr="0049032D">
        <w:rPr>
          <w:color w:val="auto"/>
          <w:lang w:val="ru-RU"/>
        </w:rPr>
        <w:t>. Вирусную ДНК также можно идентифицировать с помощью ПЦР; это может быть достигнуто с использованием методов ПЦР в реальном времени.</w:t>
      </w:r>
    </w:p>
    <w:p w14:paraId="2E14DAC5" w14:textId="77777777" w:rsidR="0049032D" w:rsidRPr="0049032D" w:rsidRDefault="0049032D" w:rsidP="0049032D">
      <w:pPr>
        <w:spacing w:after="0" w:line="240" w:lineRule="auto"/>
        <w:ind w:left="0" w:right="0" w:firstLine="567"/>
        <w:rPr>
          <w:color w:val="auto"/>
          <w:lang w:val="ru-RU"/>
        </w:rPr>
      </w:pPr>
      <w:r w:rsidRPr="0049032D">
        <w:rPr>
          <w:b/>
          <w:bCs/>
          <w:color w:val="auto"/>
          <w:lang w:val="ru-RU"/>
        </w:rPr>
        <w:t>Серологические испытания:</w:t>
      </w:r>
      <w:r w:rsidRPr="0049032D">
        <w:rPr>
          <w:color w:val="auto"/>
          <w:lang w:val="ru-RU"/>
        </w:rPr>
        <w:t xml:space="preserve"> антитела к болезни </w:t>
      </w:r>
      <w:proofErr w:type="spellStart"/>
      <w:r w:rsidRPr="0049032D">
        <w:rPr>
          <w:color w:val="auto"/>
          <w:lang w:val="ru-RU"/>
        </w:rPr>
        <w:t>Ауески</w:t>
      </w:r>
      <w:proofErr w:type="spellEnd"/>
      <w:r w:rsidRPr="0049032D">
        <w:rPr>
          <w:color w:val="auto"/>
          <w:lang w:val="ru-RU"/>
        </w:rPr>
        <w:t xml:space="preserve"> выявляются с помощью нейтрализации вируса, латекс-агглютинации или твердофазного иммуноферментного анализа (ИФА). Ряд наборов ИФА коммерчески доступен по всему миру. Эталонная сыворотка международного стандарта МЭБ определяет нижний предел чувствительности для стандартного испытания лабораториями, которые проводят серологическую диагностику болезни </w:t>
      </w:r>
      <w:proofErr w:type="spellStart"/>
      <w:r w:rsidRPr="0049032D">
        <w:rPr>
          <w:color w:val="auto"/>
          <w:lang w:val="ru-RU"/>
        </w:rPr>
        <w:t>Ауески</w:t>
      </w:r>
      <w:proofErr w:type="spellEnd"/>
      <w:r w:rsidRPr="0049032D">
        <w:rPr>
          <w:color w:val="auto"/>
          <w:lang w:val="ru-RU"/>
        </w:rPr>
        <w:t>.</w:t>
      </w:r>
    </w:p>
    <w:p w14:paraId="71198C88" w14:textId="77777777" w:rsidR="0049032D" w:rsidRPr="0049032D" w:rsidRDefault="0049032D" w:rsidP="0049032D">
      <w:pPr>
        <w:spacing w:after="0" w:line="240" w:lineRule="auto"/>
        <w:ind w:left="0" w:right="0" w:firstLine="567"/>
        <w:rPr>
          <w:color w:val="auto"/>
          <w:lang w:val="ru-RU"/>
        </w:rPr>
      </w:pPr>
      <w:r w:rsidRPr="0049032D">
        <w:rPr>
          <w:color w:val="auto"/>
          <w:lang w:val="ru-RU"/>
        </w:rPr>
        <w:t>Можно различить антитела, возникающие в результате естественной инфекции, и антитела, полученные в результате вакцинации вакцинами с удаленным геном.</w:t>
      </w:r>
    </w:p>
    <w:p w14:paraId="7C313CDB" w14:textId="77777777" w:rsidR="0049032D" w:rsidRPr="0049032D" w:rsidRDefault="0049032D" w:rsidP="0049032D">
      <w:pPr>
        <w:spacing w:after="0" w:line="240" w:lineRule="auto"/>
        <w:ind w:left="0" w:right="0" w:firstLine="567"/>
        <w:rPr>
          <w:color w:val="auto"/>
          <w:lang w:val="ru-RU"/>
        </w:rPr>
      </w:pPr>
      <w:r w:rsidRPr="0049032D">
        <w:rPr>
          <w:b/>
          <w:bCs/>
          <w:color w:val="auto"/>
          <w:lang w:val="ru-RU"/>
        </w:rPr>
        <w:t>Требования к вакцинам:</w:t>
      </w:r>
      <w:r w:rsidRPr="0049032D">
        <w:rPr>
          <w:color w:val="auto"/>
          <w:lang w:val="ru-RU"/>
        </w:rPr>
        <w:t xml:space="preserve"> Вакцины должны предотвращать или, по меньшей мере, ограничивать экскрецию (выделение) вируса от инфицированных свиней. В живых вирусных вакцинах против болезни </w:t>
      </w:r>
      <w:proofErr w:type="spellStart"/>
      <w:r w:rsidRPr="0049032D">
        <w:rPr>
          <w:color w:val="auto"/>
          <w:lang w:val="ru-RU"/>
        </w:rPr>
        <w:t>Ауески</w:t>
      </w:r>
      <w:proofErr w:type="spellEnd"/>
      <w:r w:rsidRPr="0049032D">
        <w:rPr>
          <w:color w:val="auto"/>
          <w:lang w:val="ru-RU"/>
        </w:rPr>
        <w:t>, полученных из рекомбинантной ДНК с удалением гена или естественным образом изъятым геном, отсутствует специфический гликопротеин (</w:t>
      </w:r>
      <w:proofErr w:type="spellStart"/>
      <w:r w:rsidRPr="0049032D">
        <w:rPr>
          <w:color w:val="auto"/>
          <w:lang w:val="ru-RU"/>
        </w:rPr>
        <w:t>gG</w:t>
      </w:r>
      <w:proofErr w:type="spellEnd"/>
      <w:r w:rsidRPr="0049032D">
        <w:rPr>
          <w:color w:val="auto"/>
          <w:lang w:val="ru-RU"/>
        </w:rPr>
        <w:t xml:space="preserve">, </w:t>
      </w:r>
      <w:proofErr w:type="spellStart"/>
      <w:r w:rsidRPr="0049032D">
        <w:rPr>
          <w:color w:val="auto"/>
          <w:lang w:val="ru-RU"/>
        </w:rPr>
        <w:t>gE</w:t>
      </w:r>
      <w:proofErr w:type="spellEnd"/>
      <w:r w:rsidRPr="0049032D">
        <w:rPr>
          <w:color w:val="auto"/>
          <w:lang w:val="ru-RU"/>
        </w:rPr>
        <w:t xml:space="preserve"> или </w:t>
      </w:r>
      <w:proofErr w:type="spellStart"/>
      <w:r w:rsidRPr="0049032D">
        <w:rPr>
          <w:color w:val="auto"/>
          <w:lang w:val="ru-RU"/>
        </w:rPr>
        <w:t>gC</w:t>
      </w:r>
      <w:proofErr w:type="spellEnd"/>
      <w:r w:rsidRPr="0049032D">
        <w:rPr>
          <w:color w:val="auto"/>
          <w:lang w:val="ru-RU"/>
        </w:rPr>
        <w:t>), что позволяет использовать сопутствующие диагностические испытания для дифференциации вакцинных антител от антител, возникающих в результате естественной инфекции.</w:t>
      </w:r>
    </w:p>
    <w:p w14:paraId="07F89CB7" w14:textId="77777777" w:rsidR="0049032D" w:rsidRPr="00DB12B4" w:rsidRDefault="0049032D" w:rsidP="0049032D">
      <w:pPr>
        <w:spacing w:after="0" w:line="240" w:lineRule="auto"/>
        <w:ind w:left="0" w:right="0" w:firstLine="567"/>
        <w:rPr>
          <w:color w:val="auto"/>
          <w:lang w:val="ru-RU"/>
        </w:rPr>
      </w:pPr>
      <w:r w:rsidRPr="0049032D">
        <w:rPr>
          <w:color w:val="auto"/>
          <w:lang w:val="ru-RU"/>
        </w:rPr>
        <w:t> </w:t>
      </w:r>
    </w:p>
    <w:p w14:paraId="67A0D565" w14:textId="77777777" w:rsidR="00FF1CD8" w:rsidRPr="00923AE6" w:rsidRDefault="00FF1CD8" w:rsidP="00FF1CD8">
      <w:pPr>
        <w:spacing w:after="0" w:line="240" w:lineRule="auto"/>
        <w:ind w:left="0" w:right="0" w:firstLine="0"/>
        <w:jc w:val="center"/>
        <w:rPr>
          <w:color w:val="auto"/>
          <w:shd w:val="clear" w:color="auto" w:fill="FFFFFF"/>
          <w:lang w:val="ru-RU"/>
        </w:rPr>
      </w:pPr>
    </w:p>
    <w:p w14:paraId="20277762" w14:textId="77777777" w:rsidR="002D32D5" w:rsidRDefault="002D32D5" w:rsidP="00536CB9">
      <w:pPr>
        <w:spacing w:after="0" w:line="240" w:lineRule="auto"/>
        <w:ind w:left="0" w:right="0" w:firstLine="0"/>
        <w:jc w:val="left"/>
        <w:rPr>
          <w:color w:val="auto"/>
          <w:shd w:val="clear" w:color="auto" w:fill="FFFFFF"/>
          <w:lang w:val="ru-RU"/>
        </w:rPr>
        <w:sectPr w:rsidR="002D32D5" w:rsidSect="002D32D5">
          <w:headerReference w:type="even" r:id="rId8"/>
          <w:headerReference w:type="default" r:id="rId9"/>
          <w:footerReference w:type="even" r:id="rId10"/>
          <w:footerReference w:type="default" r:id="rId11"/>
          <w:headerReference w:type="first" r:id="rId12"/>
          <w:footerReference w:type="first" r:id="rId13"/>
          <w:pgSz w:w="11906" w:h="16838"/>
          <w:pgMar w:top="861" w:right="844" w:bottom="906" w:left="1702" w:header="1020" w:footer="1020" w:gutter="0"/>
          <w:pgNumType w:fmt="upperRoman" w:start="1"/>
          <w:cols w:space="720"/>
          <w:titlePg/>
          <w:docGrid w:linePitch="326"/>
        </w:sectPr>
      </w:pPr>
    </w:p>
    <w:p w14:paraId="251BAF76" w14:textId="77777777" w:rsidR="00923AE6" w:rsidRPr="00923AE6" w:rsidRDefault="00923AE6" w:rsidP="00923AE6">
      <w:pPr>
        <w:pBdr>
          <w:bottom w:val="single" w:sz="4" w:space="1" w:color="auto"/>
        </w:pBdr>
        <w:spacing w:after="0" w:line="240" w:lineRule="auto"/>
        <w:jc w:val="center"/>
        <w:rPr>
          <w:b/>
          <w:color w:val="auto"/>
          <w:szCs w:val="24"/>
          <w:lang w:val="ru-RU"/>
        </w:rPr>
      </w:pPr>
      <w:r w:rsidRPr="00923AE6">
        <w:rPr>
          <w:b/>
          <w:color w:val="auto"/>
          <w:szCs w:val="24"/>
          <w:lang w:val="ru-RU"/>
        </w:rPr>
        <w:lastRenderedPageBreak/>
        <w:t>НАЦИОНАЛЬНЫЙ СТАНДАРТ РЕСПУБЛИКИ КАЗАХСТАН</w:t>
      </w:r>
    </w:p>
    <w:p w14:paraId="322718EF" w14:textId="77777777" w:rsidR="00FF1CD8" w:rsidRPr="00923AE6" w:rsidRDefault="00FF1CD8" w:rsidP="00536CB9">
      <w:pPr>
        <w:spacing w:after="0" w:line="240" w:lineRule="auto"/>
        <w:ind w:left="0" w:right="0" w:firstLine="0"/>
        <w:jc w:val="left"/>
        <w:rPr>
          <w:color w:val="auto"/>
          <w:shd w:val="clear" w:color="auto" w:fill="FFFFFF"/>
          <w:lang w:val="ru-RU"/>
        </w:rPr>
      </w:pPr>
    </w:p>
    <w:p w14:paraId="20F46537" w14:textId="77777777" w:rsidR="00DB12B4" w:rsidRPr="00DB12B4" w:rsidRDefault="00DB12B4" w:rsidP="00DB12B4">
      <w:pPr>
        <w:pBdr>
          <w:bottom w:val="single" w:sz="4" w:space="1" w:color="auto"/>
        </w:pBdr>
        <w:spacing w:after="0" w:line="240" w:lineRule="auto"/>
        <w:jc w:val="center"/>
        <w:rPr>
          <w:b/>
          <w:color w:val="auto"/>
          <w:shd w:val="clear" w:color="auto" w:fill="FFFFFF"/>
          <w:lang w:val="ru-RU"/>
        </w:rPr>
      </w:pPr>
      <w:r w:rsidRPr="00DB12B4">
        <w:rPr>
          <w:b/>
          <w:color w:val="auto"/>
          <w:shd w:val="clear" w:color="auto" w:fill="FFFFFF"/>
          <w:lang w:val="ru-RU"/>
        </w:rPr>
        <w:t>Животные</w:t>
      </w:r>
    </w:p>
    <w:p w14:paraId="5ADBA108" w14:textId="77777777" w:rsidR="00DB12B4" w:rsidRPr="00DB12B4" w:rsidRDefault="00DB12B4" w:rsidP="00DB12B4">
      <w:pPr>
        <w:pBdr>
          <w:bottom w:val="single" w:sz="4" w:space="1" w:color="auto"/>
        </w:pBdr>
        <w:spacing w:after="0" w:line="240" w:lineRule="auto"/>
        <w:jc w:val="center"/>
        <w:rPr>
          <w:b/>
          <w:color w:val="auto"/>
          <w:shd w:val="clear" w:color="auto" w:fill="FFFFFF"/>
          <w:lang w:val="ru-RU"/>
        </w:rPr>
      </w:pPr>
    </w:p>
    <w:p w14:paraId="36BD96A2" w14:textId="77777777" w:rsidR="00DB12B4" w:rsidRPr="00DB12B4" w:rsidRDefault="00DB12B4" w:rsidP="00DB12B4">
      <w:pPr>
        <w:pBdr>
          <w:bottom w:val="single" w:sz="4" w:space="1" w:color="auto"/>
        </w:pBdr>
        <w:spacing w:after="0" w:line="240" w:lineRule="auto"/>
        <w:jc w:val="center"/>
        <w:rPr>
          <w:b/>
          <w:color w:val="auto"/>
          <w:shd w:val="clear" w:color="auto" w:fill="FFFFFF"/>
          <w:lang w:val="ru-RU"/>
        </w:rPr>
      </w:pPr>
      <w:r w:rsidRPr="00DB12B4">
        <w:rPr>
          <w:b/>
          <w:color w:val="auto"/>
          <w:shd w:val="clear" w:color="auto" w:fill="FFFFFF"/>
          <w:lang w:val="ru-RU"/>
        </w:rPr>
        <w:t>ЛАБОРАТОРНАЯ ДИАГНОСТИКА БОЛЕЗНИ АУЕСКИ</w:t>
      </w:r>
    </w:p>
    <w:p w14:paraId="22489FD1" w14:textId="77777777" w:rsidR="00DB12B4" w:rsidRPr="00DB12B4" w:rsidRDefault="00DB12B4" w:rsidP="00DB12B4">
      <w:pPr>
        <w:pBdr>
          <w:bottom w:val="single" w:sz="4" w:space="1" w:color="auto"/>
        </w:pBdr>
        <w:spacing w:after="0" w:line="240" w:lineRule="auto"/>
        <w:jc w:val="center"/>
        <w:rPr>
          <w:b/>
          <w:color w:val="auto"/>
          <w:shd w:val="clear" w:color="auto" w:fill="FFFFFF"/>
          <w:lang w:val="ru-RU"/>
        </w:rPr>
      </w:pPr>
    </w:p>
    <w:p w14:paraId="5727DC08" w14:textId="77777777" w:rsidR="00923AE6" w:rsidRPr="00923AE6" w:rsidRDefault="00DB12B4" w:rsidP="00DB12B4">
      <w:pPr>
        <w:pBdr>
          <w:bottom w:val="single" w:sz="4" w:space="1" w:color="auto"/>
        </w:pBdr>
        <w:spacing w:after="0" w:line="240" w:lineRule="auto"/>
        <w:jc w:val="center"/>
        <w:rPr>
          <w:b/>
          <w:color w:val="auto"/>
          <w:shd w:val="clear" w:color="auto" w:fill="FFFFFF"/>
          <w:lang w:val="ru-RU"/>
        </w:rPr>
      </w:pPr>
      <w:r w:rsidRPr="00DB12B4">
        <w:rPr>
          <w:b/>
          <w:color w:val="auto"/>
          <w:shd w:val="clear" w:color="auto" w:fill="FFFFFF"/>
          <w:lang w:val="ru-RU"/>
        </w:rPr>
        <w:t xml:space="preserve"> Основные положения</w:t>
      </w:r>
    </w:p>
    <w:p w14:paraId="2F310735" w14:textId="77777777" w:rsidR="00536CB9" w:rsidRPr="00923AE6" w:rsidRDefault="00923AE6" w:rsidP="00923AE6">
      <w:pPr>
        <w:spacing w:after="0" w:line="240" w:lineRule="auto"/>
        <w:ind w:left="0" w:right="0" w:firstLine="0"/>
        <w:jc w:val="right"/>
        <w:rPr>
          <w:b/>
          <w:color w:val="auto"/>
          <w:shd w:val="clear" w:color="auto" w:fill="FFFFFF"/>
          <w:lang w:val="ru-RU"/>
        </w:rPr>
      </w:pPr>
      <w:r w:rsidRPr="00923AE6">
        <w:rPr>
          <w:b/>
          <w:color w:val="auto"/>
          <w:shd w:val="clear" w:color="auto" w:fill="FFFFFF"/>
          <w:lang w:val="ru-RU"/>
        </w:rPr>
        <w:t>Дата введения</w:t>
      </w:r>
    </w:p>
    <w:p w14:paraId="06EE501A" w14:textId="77777777" w:rsidR="00923AE6" w:rsidRPr="00923AE6" w:rsidRDefault="00923AE6" w:rsidP="00923AE6">
      <w:pPr>
        <w:spacing w:after="0" w:line="240" w:lineRule="auto"/>
        <w:ind w:left="0" w:right="0" w:firstLine="0"/>
        <w:jc w:val="left"/>
        <w:rPr>
          <w:color w:val="auto"/>
          <w:lang w:val="ru-RU"/>
        </w:rPr>
      </w:pPr>
    </w:p>
    <w:p w14:paraId="7F83B2BC" w14:textId="77777777" w:rsidR="00536CB9" w:rsidRPr="00923AE6" w:rsidRDefault="00923AE6" w:rsidP="00923AE6">
      <w:pPr>
        <w:spacing w:after="0" w:line="240" w:lineRule="auto"/>
        <w:ind w:left="0" w:right="0" w:firstLine="567"/>
        <w:rPr>
          <w:b/>
          <w:color w:val="auto"/>
          <w:lang w:val="ru-RU"/>
        </w:rPr>
      </w:pPr>
      <w:r w:rsidRPr="00923AE6">
        <w:rPr>
          <w:b/>
          <w:color w:val="auto"/>
          <w:lang w:val="ru-RU"/>
        </w:rPr>
        <w:t>1 Область применения</w:t>
      </w:r>
    </w:p>
    <w:p w14:paraId="7A6CC676" w14:textId="77777777" w:rsidR="00536CB9" w:rsidRPr="00923AE6" w:rsidRDefault="00536CB9" w:rsidP="00923AE6">
      <w:pPr>
        <w:spacing w:after="0" w:line="240" w:lineRule="auto"/>
        <w:ind w:left="0" w:right="0" w:firstLine="567"/>
        <w:rPr>
          <w:color w:val="auto"/>
          <w:lang w:val="ru-RU"/>
        </w:rPr>
      </w:pPr>
    </w:p>
    <w:p w14:paraId="3A0699EC" w14:textId="77777777" w:rsidR="00536CB9" w:rsidRPr="00923AE6" w:rsidRDefault="00923AE6" w:rsidP="00923AE6">
      <w:pPr>
        <w:spacing w:after="0" w:line="240" w:lineRule="auto"/>
        <w:ind w:left="0" w:right="0" w:firstLine="567"/>
        <w:rPr>
          <w:color w:val="auto"/>
          <w:lang w:val="ru-RU"/>
        </w:rPr>
      </w:pPr>
      <w:r>
        <w:rPr>
          <w:color w:val="auto"/>
          <w:lang w:val="ru-RU"/>
        </w:rPr>
        <w:t xml:space="preserve">Настоящий проект стандарта устанавливает основные положения по лабораторной диагностике болезни </w:t>
      </w:r>
      <w:proofErr w:type="spellStart"/>
      <w:r w:rsidR="00DB12B4">
        <w:rPr>
          <w:color w:val="auto"/>
          <w:lang w:val="ru-RU"/>
        </w:rPr>
        <w:t>Ауески</w:t>
      </w:r>
      <w:proofErr w:type="spellEnd"/>
      <w:r>
        <w:rPr>
          <w:color w:val="auto"/>
          <w:lang w:val="ru-RU"/>
        </w:rPr>
        <w:t xml:space="preserve"> у </w:t>
      </w:r>
      <w:r w:rsidR="00DB12B4">
        <w:rPr>
          <w:color w:val="auto"/>
          <w:lang w:val="ru-RU"/>
        </w:rPr>
        <w:t>животных</w:t>
      </w:r>
      <w:r w:rsidR="00AA2FC0">
        <w:rPr>
          <w:color w:val="auto"/>
          <w:lang w:val="ru-RU"/>
        </w:rPr>
        <w:t xml:space="preserve"> и содержит </w:t>
      </w:r>
      <w:r w:rsidR="006827AC">
        <w:rPr>
          <w:color w:val="auto"/>
          <w:lang w:val="ru-RU"/>
        </w:rPr>
        <w:t>описание методов</w:t>
      </w:r>
      <w:r w:rsidR="00AA2FC0">
        <w:rPr>
          <w:color w:val="auto"/>
          <w:lang w:val="ru-RU"/>
        </w:rPr>
        <w:t xml:space="preserve"> диагностирования </w:t>
      </w:r>
      <w:proofErr w:type="spellStart"/>
      <w:r w:rsidR="0049032D">
        <w:rPr>
          <w:color w:val="auto"/>
          <w:lang w:val="ru-RU"/>
        </w:rPr>
        <w:t>Ауески</w:t>
      </w:r>
      <w:proofErr w:type="spellEnd"/>
      <w:r w:rsidR="00C70CE7">
        <w:rPr>
          <w:color w:val="auto"/>
          <w:lang w:val="ru-RU"/>
        </w:rPr>
        <w:t>, указанные в таблице 1</w:t>
      </w:r>
      <w:r>
        <w:rPr>
          <w:color w:val="auto"/>
          <w:lang w:val="ru-RU"/>
        </w:rPr>
        <w:t>.</w:t>
      </w:r>
    </w:p>
    <w:p w14:paraId="2A4BD2B8" w14:textId="77777777" w:rsidR="00C70CE7" w:rsidRDefault="00C70CE7" w:rsidP="00C70CE7">
      <w:pPr>
        <w:spacing w:after="0" w:line="240" w:lineRule="auto"/>
        <w:ind w:left="712" w:right="0"/>
        <w:jc w:val="center"/>
        <w:rPr>
          <w:color w:val="auto"/>
          <w:lang w:val="ru-RU"/>
        </w:rPr>
      </w:pPr>
    </w:p>
    <w:p w14:paraId="39DFAA78" w14:textId="77777777" w:rsidR="00536CB9" w:rsidRDefault="00C70CE7" w:rsidP="00C70CE7">
      <w:pPr>
        <w:spacing w:after="0" w:line="240" w:lineRule="auto"/>
        <w:ind w:left="712" w:right="0"/>
        <w:jc w:val="center"/>
        <w:rPr>
          <w:b/>
          <w:bCs/>
          <w:color w:val="auto"/>
          <w:lang w:val="ru-RU"/>
        </w:rPr>
      </w:pPr>
      <w:r w:rsidRPr="0049032D">
        <w:rPr>
          <w:b/>
          <w:bCs/>
          <w:color w:val="auto"/>
          <w:lang w:val="ru-RU"/>
        </w:rPr>
        <w:t xml:space="preserve">Таблица 1 - </w:t>
      </w:r>
      <w:r w:rsidR="00536CB9" w:rsidRPr="0049032D">
        <w:rPr>
          <w:b/>
          <w:bCs/>
          <w:color w:val="auto"/>
          <w:lang w:val="ru-RU"/>
        </w:rPr>
        <w:t>Доступные методы испытаний и их цель</w:t>
      </w:r>
    </w:p>
    <w:p w14:paraId="549B9E53" w14:textId="77777777" w:rsidR="0049032D" w:rsidRPr="0049032D" w:rsidRDefault="0049032D" w:rsidP="00C70CE7">
      <w:pPr>
        <w:spacing w:after="0" w:line="240" w:lineRule="auto"/>
        <w:ind w:left="712" w:right="0"/>
        <w:jc w:val="center"/>
        <w:rPr>
          <w:b/>
          <w:bCs/>
          <w:color w:val="auto"/>
          <w:lang w:val="ru-RU"/>
        </w:rPr>
      </w:pPr>
    </w:p>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65"/>
        <w:gridCol w:w="1133"/>
        <w:gridCol w:w="1419"/>
        <w:gridCol w:w="1274"/>
        <w:gridCol w:w="1135"/>
        <w:gridCol w:w="1132"/>
        <w:gridCol w:w="1689"/>
      </w:tblGrid>
      <w:tr w:rsidR="0049032D" w:rsidRPr="00687DBB" w14:paraId="0417FFED" w14:textId="77777777" w:rsidTr="003E4A6B">
        <w:trPr>
          <w:trHeight w:val="400"/>
        </w:trPr>
        <w:tc>
          <w:tcPr>
            <w:tcW w:w="1265" w:type="dxa"/>
            <w:vMerge w:val="restart"/>
            <w:tcBorders>
              <w:left w:val="single" w:sz="4" w:space="0" w:color="000000"/>
              <w:bottom w:val="single" w:sz="4" w:space="0" w:color="000000"/>
            </w:tcBorders>
          </w:tcPr>
          <w:p w14:paraId="7115C318" w14:textId="77777777" w:rsidR="0049032D" w:rsidRPr="00687DBB" w:rsidRDefault="0049032D" w:rsidP="003E4A6B">
            <w:pPr>
              <w:pStyle w:val="TableParagraph"/>
              <w:rPr>
                <w:sz w:val="20"/>
                <w:szCs w:val="20"/>
              </w:rPr>
            </w:pPr>
          </w:p>
          <w:p w14:paraId="6AEA73F7" w14:textId="77777777" w:rsidR="0049032D" w:rsidRPr="00687DBB" w:rsidRDefault="0049032D" w:rsidP="003E4A6B">
            <w:pPr>
              <w:pStyle w:val="TableParagraph"/>
              <w:rPr>
                <w:sz w:val="20"/>
                <w:szCs w:val="20"/>
              </w:rPr>
            </w:pPr>
          </w:p>
          <w:p w14:paraId="3F6FBB7F" w14:textId="77777777" w:rsidR="0049032D" w:rsidRPr="00687DBB" w:rsidRDefault="0049032D" w:rsidP="003E4A6B">
            <w:pPr>
              <w:pStyle w:val="TableParagraph"/>
              <w:rPr>
                <w:b/>
                <w:sz w:val="20"/>
                <w:szCs w:val="20"/>
              </w:rPr>
            </w:pPr>
            <w:r w:rsidRPr="00687DBB">
              <w:rPr>
                <w:b/>
                <w:sz w:val="20"/>
                <w:szCs w:val="20"/>
              </w:rPr>
              <w:t>Метод</w:t>
            </w:r>
          </w:p>
        </w:tc>
        <w:tc>
          <w:tcPr>
            <w:tcW w:w="7782" w:type="dxa"/>
            <w:gridSpan w:val="6"/>
            <w:tcBorders>
              <w:bottom w:val="single" w:sz="4" w:space="0" w:color="000000"/>
              <w:right w:val="single" w:sz="4" w:space="0" w:color="000000"/>
            </w:tcBorders>
          </w:tcPr>
          <w:p w14:paraId="3C78DF36" w14:textId="77777777" w:rsidR="0049032D" w:rsidRPr="00214751" w:rsidRDefault="0049032D" w:rsidP="003E4A6B">
            <w:pPr>
              <w:pStyle w:val="TableParagraph"/>
              <w:spacing w:before="97"/>
              <w:ind w:left="2985" w:right="3373"/>
              <w:rPr>
                <w:b/>
                <w:sz w:val="20"/>
                <w:szCs w:val="20"/>
              </w:rPr>
            </w:pPr>
            <w:r>
              <w:rPr>
                <w:b/>
                <w:sz w:val="20"/>
                <w:szCs w:val="20"/>
              </w:rPr>
              <w:t>Цель</w:t>
            </w:r>
          </w:p>
        </w:tc>
      </w:tr>
      <w:tr w:rsidR="0049032D" w:rsidRPr="006E4316" w14:paraId="6E909112" w14:textId="77777777" w:rsidTr="003E4A6B">
        <w:trPr>
          <w:trHeight w:val="856"/>
        </w:trPr>
        <w:tc>
          <w:tcPr>
            <w:tcW w:w="1265" w:type="dxa"/>
            <w:vMerge/>
            <w:tcBorders>
              <w:top w:val="nil"/>
              <w:left w:val="single" w:sz="4" w:space="0" w:color="000000"/>
              <w:bottom w:val="single" w:sz="4" w:space="0" w:color="000000"/>
            </w:tcBorders>
          </w:tcPr>
          <w:p w14:paraId="27C1CA64" w14:textId="77777777" w:rsidR="0049032D" w:rsidRPr="00687DBB" w:rsidRDefault="0049032D" w:rsidP="003E4A6B">
            <w:pPr>
              <w:rPr>
                <w:sz w:val="20"/>
                <w:szCs w:val="20"/>
              </w:rPr>
            </w:pPr>
          </w:p>
        </w:tc>
        <w:tc>
          <w:tcPr>
            <w:tcW w:w="1133" w:type="dxa"/>
          </w:tcPr>
          <w:p w14:paraId="507E2702" w14:textId="77777777" w:rsidR="0049032D" w:rsidRPr="00687DBB" w:rsidRDefault="0049032D" w:rsidP="003E4A6B">
            <w:pPr>
              <w:pStyle w:val="TableParagraph"/>
              <w:spacing w:before="61"/>
              <w:ind w:left="8"/>
              <w:rPr>
                <w:sz w:val="20"/>
                <w:szCs w:val="20"/>
              </w:rPr>
            </w:pPr>
            <w:r w:rsidRPr="00687DBB">
              <w:rPr>
                <w:sz w:val="20"/>
                <w:szCs w:val="20"/>
              </w:rPr>
              <w:t>Отсутствие инфекции в популяции</w:t>
            </w:r>
          </w:p>
        </w:tc>
        <w:tc>
          <w:tcPr>
            <w:tcW w:w="1419" w:type="dxa"/>
          </w:tcPr>
          <w:p w14:paraId="12AB58E9" w14:textId="77777777" w:rsidR="0049032D" w:rsidRPr="00687DBB" w:rsidRDefault="0049032D" w:rsidP="003E4A6B">
            <w:pPr>
              <w:pStyle w:val="TableParagraph"/>
              <w:spacing w:before="61"/>
              <w:ind w:left="8"/>
              <w:rPr>
                <w:sz w:val="20"/>
                <w:szCs w:val="20"/>
              </w:rPr>
            </w:pPr>
            <w:r w:rsidRPr="00687DBB">
              <w:rPr>
                <w:sz w:val="20"/>
                <w:szCs w:val="20"/>
              </w:rPr>
              <w:t>Отсутствие инфекции у отдельных особей до перемещения</w:t>
            </w:r>
          </w:p>
        </w:tc>
        <w:tc>
          <w:tcPr>
            <w:tcW w:w="1274" w:type="dxa"/>
          </w:tcPr>
          <w:p w14:paraId="527EACAC" w14:textId="77777777" w:rsidR="0049032D" w:rsidRPr="00687DBB" w:rsidRDefault="0049032D" w:rsidP="003E4A6B">
            <w:pPr>
              <w:pStyle w:val="TableParagraph"/>
              <w:spacing w:before="154"/>
              <w:ind w:left="8"/>
              <w:rPr>
                <w:sz w:val="20"/>
                <w:szCs w:val="20"/>
              </w:rPr>
            </w:pPr>
            <w:r w:rsidRPr="00687DBB">
              <w:rPr>
                <w:sz w:val="20"/>
                <w:szCs w:val="20"/>
              </w:rPr>
              <w:t>Участие в политике искоренения</w:t>
            </w:r>
          </w:p>
        </w:tc>
        <w:tc>
          <w:tcPr>
            <w:tcW w:w="1135" w:type="dxa"/>
          </w:tcPr>
          <w:p w14:paraId="60B32E01" w14:textId="77777777" w:rsidR="0049032D" w:rsidRPr="00687DBB" w:rsidRDefault="0049032D" w:rsidP="003E4A6B">
            <w:pPr>
              <w:pStyle w:val="TableParagraph"/>
              <w:spacing w:before="154"/>
              <w:ind w:left="8"/>
              <w:rPr>
                <w:sz w:val="20"/>
                <w:szCs w:val="20"/>
              </w:rPr>
            </w:pPr>
            <w:r w:rsidRPr="00687DBB">
              <w:rPr>
                <w:sz w:val="20"/>
                <w:szCs w:val="20"/>
              </w:rPr>
              <w:t>Подтверждение клинических случаев</w:t>
            </w:r>
          </w:p>
        </w:tc>
        <w:tc>
          <w:tcPr>
            <w:tcW w:w="1132" w:type="dxa"/>
          </w:tcPr>
          <w:p w14:paraId="54F8CF4D" w14:textId="77777777" w:rsidR="0049032D" w:rsidRPr="00687DBB" w:rsidRDefault="0049032D" w:rsidP="003E4A6B">
            <w:pPr>
              <w:pStyle w:val="TableParagraph"/>
              <w:spacing w:before="154"/>
              <w:ind w:left="8"/>
              <w:rPr>
                <w:sz w:val="20"/>
                <w:szCs w:val="20"/>
              </w:rPr>
            </w:pPr>
            <w:r w:rsidRPr="00687DBB">
              <w:rPr>
                <w:sz w:val="20"/>
                <w:szCs w:val="20"/>
              </w:rPr>
              <w:t>Уровень распространенности инфекции – надзор</w:t>
            </w:r>
          </w:p>
        </w:tc>
        <w:tc>
          <w:tcPr>
            <w:tcW w:w="1689" w:type="dxa"/>
          </w:tcPr>
          <w:p w14:paraId="6835AF3C" w14:textId="77777777" w:rsidR="0049032D" w:rsidRPr="00687DBB" w:rsidRDefault="0049032D" w:rsidP="003E4A6B">
            <w:pPr>
              <w:pStyle w:val="TableParagraph"/>
              <w:spacing w:before="61"/>
              <w:ind w:left="8"/>
              <w:rPr>
                <w:sz w:val="20"/>
                <w:szCs w:val="20"/>
              </w:rPr>
            </w:pPr>
            <w:r w:rsidRPr="00687DBB">
              <w:rPr>
                <w:sz w:val="20"/>
                <w:szCs w:val="20"/>
              </w:rPr>
              <w:t>Иммунный статус у отдельных животных или популяций после вакцинации</w:t>
            </w:r>
          </w:p>
        </w:tc>
      </w:tr>
      <w:tr w:rsidR="0049032D" w:rsidRPr="00687DBB" w14:paraId="7DA9CFD6" w14:textId="77777777" w:rsidTr="003E4A6B">
        <w:trPr>
          <w:trHeight w:val="402"/>
        </w:trPr>
        <w:tc>
          <w:tcPr>
            <w:tcW w:w="9047" w:type="dxa"/>
            <w:gridSpan w:val="7"/>
            <w:tcBorders>
              <w:top w:val="single" w:sz="4" w:space="0" w:color="000000"/>
              <w:left w:val="single" w:sz="4" w:space="0" w:color="000000"/>
              <w:bottom w:val="single" w:sz="4" w:space="0" w:color="000000"/>
              <w:right w:val="single" w:sz="4" w:space="0" w:color="000000"/>
            </w:tcBorders>
            <w:shd w:val="clear" w:color="auto" w:fill="E4E4E4"/>
          </w:tcPr>
          <w:p w14:paraId="3B1A5E8B" w14:textId="77777777" w:rsidR="0049032D" w:rsidRPr="00214751" w:rsidRDefault="0049032D" w:rsidP="003E4A6B">
            <w:pPr>
              <w:pStyle w:val="TableParagraph"/>
              <w:spacing w:before="77"/>
              <w:ind w:left="2552" w:right="2806"/>
              <w:rPr>
                <w:b/>
                <w:sz w:val="20"/>
                <w:szCs w:val="20"/>
                <w:vertAlign w:val="superscript"/>
              </w:rPr>
            </w:pPr>
            <w:r w:rsidRPr="00214751">
              <w:rPr>
                <w:b/>
                <w:sz w:val="20"/>
                <w:szCs w:val="20"/>
              </w:rPr>
              <w:t>Обнаружение возбудителя</w:t>
            </w:r>
            <w:r>
              <w:rPr>
                <w:b/>
                <w:sz w:val="20"/>
                <w:szCs w:val="20"/>
                <w:vertAlign w:val="superscript"/>
              </w:rPr>
              <w:t>1</w:t>
            </w:r>
          </w:p>
        </w:tc>
      </w:tr>
      <w:tr w:rsidR="0049032D" w:rsidRPr="00687DBB" w14:paraId="05B1C5EF" w14:textId="77777777" w:rsidTr="003E4A6B">
        <w:trPr>
          <w:trHeight w:val="486"/>
        </w:trPr>
        <w:tc>
          <w:tcPr>
            <w:tcW w:w="1265" w:type="dxa"/>
            <w:tcBorders>
              <w:top w:val="single" w:sz="4" w:space="0" w:color="000000"/>
              <w:left w:val="single" w:sz="4" w:space="0" w:color="000000"/>
              <w:bottom w:val="single" w:sz="4" w:space="0" w:color="000000"/>
            </w:tcBorders>
          </w:tcPr>
          <w:p w14:paraId="769740AC" w14:textId="77777777" w:rsidR="0049032D" w:rsidRPr="00214751" w:rsidRDefault="0049032D" w:rsidP="003E4A6B">
            <w:pPr>
              <w:pStyle w:val="TableParagraph"/>
              <w:spacing w:before="61"/>
              <w:ind w:right="-20"/>
              <w:rPr>
                <w:b/>
                <w:sz w:val="20"/>
                <w:szCs w:val="20"/>
              </w:rPr>
            </w:pPr>
            <w:r>
              <w:rPr>
                <w:b/>
                <w:sz w:val="20"/>
                <w:szCs w:val="20"/>
              </w:rPr>
              <w:t>Выделение вируса</w:t>
            </w:r>
          </w:p>
        </w:tc>
        <w:tc>
          <w:tcPr>
            <w:tcW w:w="1133" w:type="dxa"/>
            <w:tcBorders>
              <w:top w:val="single" w:sz="4" w:space="0" w:color="000000"/>
              <w:bottom w:val="single" w:sz="4" w:space="0" w:color="000000"/>
            </w:tcBorders>
          </w:tcPr>
          <w:p w14:paraId="2398F11C" w14:textId="77777777" w:rsidR="0049032D" w:rsidRPr="00687DBB" w:rsidRDefault="0049032D" w:rsidP="003E4A6B">
            <w:pPr>
              <w:pStyle w:val="TableParagraph"/>
              <w:spacing w:before="152"/>
              <w:ind w:left="11"/>
              <w:rPr>
                <w:sz w:val="20"/>
                <w:szCs w:val="20"/>
              </w:rPr>
            </w:pPr>
            <w:r w:rsidRPr="00687DBB">
              <w:rPr>
                <w:sz w:val="20"/>
                <w:szCs w:val="20"/>
              </w:rPr>
              <w:t>–</w:t>
            </w:r>
          </w:p>
        </w:tc>
        <w:tc>
          <w:tcPr>
            <w:tcW w:w="1419" w:type="dxa"/>
            <w:tcBorders>
              <w:top w:val="single" w:sz="4" w:space="0" w:color="000000"/>
              <w:bottom w:val="single" w:sz="4" w:space="0" w:color="000000"/>
            </w:tcBorders>
          </w:tcPr>
          <w:p w14:paraId="3D6684EE" w14:textId="77777777" w:rsidR="0049032D" w:rsidRPr="00687DBB" w:rsidRDefault="0049032D" w:rsidP="003E4A6B">
            <w:pPr>
              <w:pStyle w:val="TableParagraph"/>
              <w:spacing w:before="152"/>
              <w:rPr>
                <w:sz w:val="20"/>
                <w:szCs w:val="20"/>
              </w:rPr>
            </w:pPr>
            <w:r w:rsidRPr="00687DBB">
              <w:rPr>
                <w:sz w:val="20"/>
                <w:szCs w:val="20"/>
              </w:rPr>
              <w:t>–</w:t>
            </w:r>
          </w:p>
        </w:tc>
        <w:tc>
          <w:tcPr>
            <w:tcW w:w="1274" w:type="dxa"/>
            <w:tcBorders>
              <w:top w:val="single" w:sz="4" w:space="0" w:color="000000"/>
              <w:bottom w:val="single" w:sz="4" w:space="0" w:color="000000"/>
            </w:tcBorders>
          </w:tcPr>
          <w:p w14:paraId="21067C6C" w14:textId="77777777" w:rsidR="0049032D" w:rsidRPr="00687DBB" w:rsidRDefault="0049032D" w:rsidP="003E4A6B">
            <w:pPr>
              <w:pStyle w:val="TableParagraph"/>
              <w:spacing w:before="152"/>
              <w:rPr>
                <w:sz w:val="20"/>
                <w:szCs w:val="20"/>
              </w:rPr>
            </w:pPr>
            <w:r w:rsidRPr="00687DBB">
              <w:rPr>
                <w:sz w:val="20"/>
                <w:szCs w:val="20"/>
              </w:rPr>
              <w:t>–</w:t>
            </w:r>
          </w:p>
        </w:tc>
        <w:tc>
          <w:tcPr>
            <w:tcW w:w="1135" w:type="dxa"/>
            <w:tcBorders>
              <w:top w:val="single" w:sz="4" w:space="0" w:color="000000"/>
              <w:bottom w:val="single" w:sz="4" w:space="0" w:color="000000"/>
            </w:tcBorders>
          </w:tcPr>
          <w:p w14:paraId="10E00C89" w14:textId="77777777" w:rsidR="0049032D" w:rsidRPr="00687DBB" w:rsidRDefault="0049032D" w:rsidP="003E4A6B">
            <w:pPr>
              <w:pStyle w:val="TableParagraph"/>
              <w:spacing w:before="152"/>
              <w:ind w:left="107" w:right="97"/>
              <w:rPr>
                <w:sz w:val="20"/>
                <w:szCs w:val="20"/>
              </w:rPr>
            </w:pPr>
            <w:r w:rsidRPr="00687DBB">
              <w:rPr>
                <w:sz w:val="20"/>
                <w:szCs w:val="20"/>
              </w:rPr>
              <w:t>+++</w:t>
            </w:r>
          </w:p>
        </w:tc>
        <w:tc>
          <w:tcPr>
            <w:tcW w:w="1132" w:type="dxa"/>
            <w:tcBorders>
              <w:top w:val="single" w:sz="4" w:space="0" w:color="000000"/>
              <w:bottom w:val="single" w:sz="4" w:space="0" w:color="000000"/>
            </w:tcBorders>
          </w:tcPr>
          <w:p w14:paraId="7E4D9A50" w14:textId="77777777" w:rsidR="0049032D" w:rsidRPr="00687DBB" w:rsidRDefault="0049032D" w:rsidP="003E4A6B">
            <w:pPr>
              <w:pStyle w:val="TableParagraph"/>
              <w:spacing w:before="152"/>
              <w:ind w:left="14"/>
              <w:rPr>
                <w:sz w:val="20"/>
                <w:szCs w:val="20"/>
              </w:rPr>
            </w:pPr>
            <w:r w:rsidRPr="00687DBB">
              <w:rPr>
                <w:sz w:val="20"/>
                <w:szCs w:val="20"/>
              </w:rPr>
              <w:t>–</w:t>
            </w:r>
          </w:p>
        </w:tc>
        <w:tc>
          <w:tcPr>
            <w:tcW w:w="1689" w:type="dxa"/>
            <w:tcBorders>
              <w:top w:val="single" w:sz="4" w:space="0" w:color="000000"/>
              <w:bottom w:val="single" w:sz="4" w:space="0" w:color="000000"/>
              <w:right w:val="single" w:sz="4" w:space="0" w:color="000000"/>
            </w:tcBorders>
          </w:tcPr>
          <w:p w14:paraId="0225F843" w14:textId="77777777" w:rsidR="0049032D" w:rsidRPr="00687DBB" w:rsidRDefault="0049032D" w:rsidP="003E4A6B">
            <w:pPr>
              <w:pStyle w:val="TableParagraph"/>
              <w:spacing w:before="152"/>
              <w:rPr>
                <w:sz w:val="20"/>
                <w:szCs w:val="20"/>
              </w:rPr>
            </w:pPr>
            <w:r w:rsidRPr="00687DBB">
              <w:rPr>
                <w:sz w:val="20"/>
                <w:szCs w:val="20"/>
              </w:rPr>
              <w:t>–</w:t>
            </w:r>
          </w:p>
        </w:tc>
      </w:tr>
      <w:tr w:rsidR="0049032D" w:rsidRPr="00687DBB" w14:paraId="77417BCD" w14:textId="77777777" w:rsidTr="003E4A6B">
        <w:trPr>
          <w:trHeight w:val="489"/>
        </w:trPr>
        <w:tc>
          <w:tcPr>
            <w:tcW w:w="1265" w:type="dxa"/>
            <w:tcBorders>
              <w:top w:val="single" w:sz="4" w:space="0" w:color="000000"/>
              <w:left w:val="single" w:sz="4" w:space="0" w:color="000000"/>
              <w:bottom w:val="single" w:sz="4" w:space="0" w:color="000000"/>
            </w:tcBorders>
          </w:tcPr>
          <w:p w14:paraId="10032005" w14:textId="77777777" w:rsidR="0049032D" w:rsidRPr="00214751" w:rsidRDefault="0049032D" w:rsidP="003E4A6B">
            <w:pPr>
              <w:pStyle w:val="TableParagraph"/>
              <w:spacing w:before="61"/>
              <w:ind w:right="-20"/>
              <w:rPr>
                <w:b/>
                <w:sz w:val="20"/>
                <w:szCs w:val="20"/>
              </w:rPr>
            </w:pPr>
            <w:r>
              <w:rPr>
                <w:b/>
                <w:sz w:val="20"/>
                <w:szCs w:val="20"/>
              </w:rPr>
              <w:t>ПЦР в реальном времени</w:t>
            </w:r>
          </w:p>
        </w:tc>
        <w:tc>
          <w:tcPr>
            <w:tcW w:w="1133" w:type="dxa"/>
            <w:tcBorders>
              <w:top w:val="single" w:sz="4" w:space="0" w:color="000000"/>
              <w:bottom w:val="single" w:sz="4" w:space="0" w:color="000000"/>
            </w:tcBorders>
          </w:tcPr>
          <w:p w14:paraId="62F02125" w14:textId="77777777" w:rsidR="0049032D" w:rsidRPr="00687DBB" w:rsidRDefault="0049032D" w:rsidP="003E4A6B">
            <w:pPr>
              <w:pStyle w:val="TableParagraph"/>
              <w:spacing w:before="154"/>
              <w:ind w:left="11"/>
              <w:rPr>
                <w:sz w:val="20"/>
                <w:szCs w:val="20"/>
              </w:rPr>
            </w:pPr>
            <w:r w:rsidRPr="00687DBB">
              <w:rPr>
                <w:sz w:val="20"/>
                <w:szCs w:val="20"/>
              </w:rPr>
              <w:t>–</w:t>
            </w:r>
          </w:p>
        </w:tc>
        <w:tc>
          <w:tcPr>
            <w:tcW w:w="1419" w:type="dxa"/>
            <w:tcBorders>
              <w:top w:val="single" w:sz="4" w:space="0" w:color="000000"/>
              <w:bottom w:val="single" w:sz="4" w:space="0" w:color="000000"/>
            </w:tcBorders>
          </w:tcPr>
          <w:p w14:paraId="31346205" w14:textId="77777777" w:rsidR="0049032D" w:rsidRPr="00687DBB" w:rsidRDefault="0049032D" w:rsidP="003E4A6B">
            <w:pPr>
              <w:pStyle w:val="TableParagraph"/>
              <w:spacing w:before="154"/>
              <w:rPr>
                <w:sz w:val="20"/>
                <w:szCs w:val="20"/>
              </w:rPr>
            </w:pPr>
            <w:r w:rsidRPr="00687DBB">
              <w:rPr>
                <w:sz w:val="20"/>
                <w:szCs w:val="20"/>
              </w:rPr>
              <w:t>+</w:t>
            </w:r>
          </w:p>
        </w:tc>
        <w:tc>
          <w:tcPr>
            <w:tcW w:w="1274" w:type="dxa"/>
            <w:tcBorders>
              <w:top w:val="single" w:sz="4" w:space="0" w:color="000000"/>
              <w:bottom w:val="single" w:sz="4" w:space="0" w:color="000000"/>
            </w:tcBorders>
          </w:tcPr>
          <w:p w14:paraId="41A1263E" w14:textId="77777777" w:rsidR="0049032D" w:rsidRPr="00687DBB" w:rsidRDefault="0049032D" w:rsidP="003E4A6B">
            <w:pPr>
              <w:pStyle w:val="TableParagraph"/>
              <w:spacing w:before="154"/>
              <w:rPr>
                <w:sz w:val="20"/>
                <w:szCs w:val="20"/>
              </w:rPr>
            </w:pPr>
            <w:r w:rsidRPr="00687DBB">
              <w:rPr>
                <w:sz w:val="20"/>
                <w:szCs w:val="20"/>
              </w:rPr>
              <w:t>+</w:t>
            </w:r>
          </w:p>
        </w:tc>
        <w:tc>
          <w:tcPr>
            <w:tcW w:w="1135" w:type="dxa"/>
            <w:tcBorders>
              <w:top w:val="single" w:sz="4" w:space="0" w:color="000000"/>
              <w:bottom w:val="single" w:sz="4" w:space="0" w:color="000000"/>
            </w:tcBorders>
          </w:tcPr>
          <w:p w14:paraId="5E44FCDA" w14:textId="77777777" w:rsidR="0049032D" w:rsidRPr="00687DBB" w:rsidRDefault="0049032D" w:rsidP="003E4A6B">
            <w:pPr>
              <w:pStyle w:val="TableParagraph"/>
              <w:spacing w:before="154"/>
              <w:ind w:left="107" w:right="97"/>
              <w:rPr>
                <w:sz w:val="20"/>
                <w:szCs w:val="20"/>
              </w:rPr>
            </w:pPr>
            <w:r w:rsidRPr="00687DBB">
              <w:rPr>
                <w:sz w:val="20"/>
                <w:szCs w:val="20"/>
              </w:rPr>
              <w:t>+++</w:t>
            </w:r>
          </w:p>
        </w:tc>
        <w:tc>
          <w:tcPr>
            <w:tcW w:w="1132" w:type="dxa"/>
            <w:tcBorders>
              <w:top w:val="single" w:sz="4" w:space="0" w:color="000000"/>
              <w:bottom w:val="single" w:sz="4" w:space="0" w:color="000000"/>
            </w:tcBorders>
          </w:tcPr>
          <w:p w14:paraId="17A5195B" w14:textId="77777777" w:rsidR="0049032D" w:rsidRPr="00687DBB" w:rsidRDefault="0049032D" w:rsidP="003E4A6B">
            <w:pPr>
              <w:pStyle w:val="TableParagraph"/>
              <w:spacing w:before="154"/>
              <w:ind w:left="14"/>
              <w:rPr>
                <w:sz w:val="20"/>
                <w:szCs w:val="20"/>
              </w:rPr>
            </w:pPr>
            <w:r w:rsidRPr="00687DBB">
              <w:rPr>
                <w:sz w:val="20"/>
                <w:szCs w:val="20"/>
              </w:rPr>
              <w:t>+</w:t>
            </w:r>
          </w:p>
        </w:tc>
        <w:tc>
          <w:tcPr>
            <w:tcW w:w="1689" w:type="dxa"/>
            <w:tcBorders>
              <w:top w:val="single" w:sz="4" w:space="0" w:color="000000"/>
              <w:bottom w:val="single" w:sz="4" w:space="0" w:color="000000"/>
              <w:right w:val="single" w:sz="4" w:space="0" w:color="000000"/>
            </w:tcBorders>
          </w:tcPr>
          <w:p w14:paraId="33CA6996" w14:textId="77777777" w:rsidR="0049032D" w:rsidRPr="00687DBB" w:rsidRDefault="0049032D" w:rsidP="003E4A6B">
            <w:pPr>
              <w:pStyle w:val="TableParagraph"/>
              <w:spacing w:before="154"/>
              <w:rPr>
                <w:sz w:val="20"/>
                <w:szCs w:val="20"/>
              </w:rPr>
            </w:pPr>
            <w:r w:rsidRPr="00687DBB">
              <w:rPr>
                <w:sz w:val="20"/>
                <w:szCs w:val="20"/>
              </w:rPr>
              <w:t>–</w:t>
            </w:r>
          </w:p>
        </w:tc>
      </w:tr>
      <w:tr w:rsidR="0049032D" w:rsidRPr="00687DBB" w14:paraId="354F3814" w14:textId="77777777" w:rsidTr="003E4A6B">
        <w:trPr>
          <w:trHeight w:val="402"/>
        </w:trPr>
        <w:tc>
          <w:tcPr>
            <w:tcW w:w="9047" w:type="dxa"/>
            <w:gridSpan w:val="7"/>
            <w:tcBorders>
              <w:top w:val="single" w:sz="4" w:space="0" w:color="000000"/>
              <w:left w:val="single" w:sz="4" w:space="0" w:color="000000"/>
              <w:bottom w:val="single" w:sz="4" w:space="0" w:color="000000"/>
              <w:right w:val="single" w:sz="4" w:space="0" w:color="000000"/>
            </w:tcBorders>
            <w:shd w:val="clear" w:color="auto" w:fill="E4E4E4"/>
          </w:tcPr>
          <w:p w14:paraId="26375F49" w14:textId="77777777" w:rsidR="0049032D" w:rsidRPr="00687DBB" w:rsidRDefault="0049032D" w:rsidP="003E4A6B">
            <w:pPr>
              <w:pStyle w:val="TableParagraph"/>
              <w:spacing w:before="61"/>
              <w:ind w:left="1701" w:right="2806"/>
              <w:rPr>
                <w:b/>
                <w:sz w:val="20"/>
                <w:szCs w:val="20"/>
              </w:rPr>
            </w:pPr>
            <w:r w:rsidRPr="00214751">
              <w:rPr>
                <w:b/>
                <w:sz w:val="20"/>
                <w:szCs w:val="20"/>
              </w:rPr>
              <w:t>Обнаружение иммунной реакции</w:t>
            </w:r>
          </w:p>
        </w:tc>
      </w:tr>
      <w:tr w:rsidR="0049032D" w:rsidRPr="00687DBB" w14:paraId="57E2E394" w14:textId="77777777" w:rsidTr="003E4A6B">
        <w:trPr>
          <w:trHeight w:val="487"/>
        </w:trPr>
        <w:tc>
          <w:tcPr>
            <w:tcW w:w="1265" w:type="dxa"/>
            <w:tcBorders>
              <w:top w:val="single" w:sz="4" w:space="0" w:color="000000"/>
              <w:left w:val="single" w:sz="4" w:space="0" w:color="000000"/>
              <w:bottom w:val="single" w:sz="4" w:space="0" w:color="000000"/>
            </w:tcBorders>
          </w:tcPr>
          <w:p w14:paraId="3B2738D3" w14:textId="77777777" w:rsidR="0049032D" w:rsidRDefault="0049032D" w:rsidP="003E4A6B">
            <w:pPr>
              <w:pStyle w:val="TableParagraph"/>
              <w:spacing w:before="59"/>
              <w:rPr>
                <w:b/>
                <w:sz w:val="20"/>
                <w:szCs w:val="20"/>
              </w:rPr>
            </w:pPr>
            <w:r w:rsidRPr="00214751">
              <w:rPr>
                <w:b/>
                <w:sz w:val="20"/>
                <w:szCs w:val="20"/>
              </w:rPr>
              <w:t xml:space="preserve">Латексная </w:t>
            </w:r>
            <w:proofErr w:type="spellStart"/>
            <w:r w:rsidRPr="00214751">
              <w:rPr>
                <w:b/>
                <w:sz w:val="20"/>
                <w:szCs w:val="20"/>
              </w:rPr>
              <w:t>агглютина</w:t>
            </w:r>
            <w:proofErr w:type="spellEnd"/>
          </w:p>
          <w:p w14:paraId="6ABBBD28" w14:textId="77777777" w:rsidR="0049032D" w:rsidRPr="00687DBB" w:rsidRDefault="0049032D" w:rsidP="003E4A6B">
            <w:pPr>
              <w:pStyle w:val="TableParagraph"/>
              <w:spacing w:before="59"/>
              <w:rPr>
                <w:b/>
                <w:sz w:val="20"/>
                <w:szCs w:val="20"/>
              </w:rPr>
            </w:pPr>
            <w:proofErr w:type="spellStart"/>
            <w:r w:rsidRPr="00214751">
              <w:rPr>
                <w:b/>
                <w:sz w:val="20"/>
                <w:szCs w:val="20"/>
              </w:rPr>
              <w:t>ция</w:t>
            </w:r>
            <w:proofErr w:type="spellEnd"/>
          </w:p>
        </w:tc>
        <w:tc>
          <w:tcPr>
            <w:tcW w:w="1133" w:type="dxa"/>
            <w:tcBorders>
              <w:top w:val="single" w:sz="4" w:space="0" w:color="000000"/>
              <w:bottom w:val="single" w:sz="4" w:space="0" w:color="000000"/>
            </w:tcBorders>
          </w:tcPr>
          <w:p w14:paraId="3F54A4D0" w14:textId="77777777" w:rsidR="0049032D" w:rsidRPr="00687DBB" w:rsidRDefault="0049032D" w:rsidP="003E4A6B">
            <w:pPr>
              <w:pStyle w:val="TableParagraph"/>
              <w:spacing w:before="152"/>
              <w:ind w:left="183" w:right="172"/>
              <w:rPr>
                <w:sz w:val="20"/>
                <w:szCs w:val="20"/>
              </w:rPr>
            </w:pPr>
            <w:r w:rsidRPr="00687DBB">
              <w:rPr>
                <w:sz w:val="20"/>
                <w:szCs w:val="20"/>
              </w:rPr>
              <w:t>+++</w:t>
            </w:r>
          </w:p>
        </w:tc>
        <w:tc>
          <w:tcPr>
            <w:tcW w:w="1419" w:type="dxa"/>
            <w:tcBorders>
              <w:top w:val="single" w:sz="4" w:space="0" w:color="000000"/>
              <w:bottom w:val="single" w:sz="4" w:space="0" w:color="000000"/>
            </w:tcBorders>
          </w:tcPr>
          <w:p w14:paraId="2D438E04" w14:textId="77777777" w:rsidR="0049032D" w:rsidRPr="00687DBB" w:rsidRDefault="0049032D" w:rsidP="003E4A6B">
            <w:pPr>
              <w:pStyle w:val="TableParagraph"/>
              <w:spacing w:before="152"/>
              <w:ind w:left="106" w:right="97"/>
              <w:rPr>
                <w:sz w:val="20"/>
                <w:szCs w:val="20"/>
              </w:rPr>
            </w:pPr>
            <w:r w:rsidRPr="00687DBB">
              <w:rPr>
                <w:sz w:val="20"/>
                <w:szCs w:val="20"/>
              </w:rPr>
              <w:t>+++</w:t>
            </w:r>
          </w:p>
        </w:tc>
        <w:tc>
          <w:tcPr>
            <w:tcW w:w="1274" w:type="dxa"/>
            <w:tcBorders>
              <w:top w:val="single" w:sz="4" w:space="0" w:color="000000"/>
              <w:bottom w:val="single" w:sz="4" w:space="0" w:color="000000"/>
            </w:tcBorders>
          </w:tcPr>
          <w:p w14:paraId="13ABE9C0" w14:textId="77777777" w:rsidR="0049032D" w:rsidRPr="00687DBB" w:rsidRDefault="0049032D" w:rsidP="003E4A6B">
            <w:pPr>
              <w:pStyle w:val="TableParagraph"/>
              <w:spacing w:before="152"/>
              <w:ind w:left="172" w:right="163"/>
              <w:rPr>
                <w:sz w:val="20"/>
                <w:szCs w:val="20"/>
              </w:rPr>
            </w:pPr>
            <w:r w:rsidRPr="00687DBB">
              <w:rPr>
                <w:sz w:val="20"/>
                <w:szCs w:val="20"/>
              </w:rPr>
              <w:t>+++</w:t>
            </w:r>
          </w:p>
        </w:tc>
        <w:tc>
          <w:tcPr>
            <w:tcW w:w="1135" w:type="dxa"/>
            <w:tcBorders>
              <w:top w:val="single" w:sz="4" w:space="0" w:color="000000"/>
              <w:bottom w:val="single" w:sz="4" w:space="0" w:color="000000"/>
            </w:tcBorders>
          </w:tcPr>
          <w:p w14:paraId="45332A5D" w14:textId="77777777" w:rsidR="0049032D" w:rsidRPr="00687DBB" w:rsidRDefault="0049032D" w:rsidP="003E4A6B">
            <w:pPr>
              <w:pStyle w:val="TableParagraph"/>
              <w:spacing w:before="152"/>
              <w:ind w:left="10"/>
              <w:rPr>
                <w:sz w:val="20"/>
                <w:szCs w:val="20"/>
              </w:rPr>
            </w:pPr>
            <w:r w:rsidRPr="00687DBB">
              <w:rPr>
                <w:sz w:val="20"/>
                <w:szCs w:val="20"/>
              </w:rPr>
              <w:t>+</w:t>
            </w:r>
          </w:p>
        </w:tc>
        <w:tc>
          <w:tcPr>
            <w:tcW w:w="1132" w:type="dxa"/>
            <w:tcBorders>
              <w:top w:val="single" w:sz="4" w:space="0" w:color="000000"/>
              <w:bottom w:val="single" w:sz="4" w:space="0" w:color="000000"/>
            </w:tcBorders>
          </w:tcPr>
          <w:p w14:paraId="56ED13CA" w14:textId="77777777" w:rsidR="0049032D" w:rsidRPr="00687DBB" w:rsidRDefault="0049032D" w:rsidP="003E4A6B">
            <w:pPr>
              <w:pStyle w:val="TableParagraph"/>
              <w:spacing w:before="152"/>
              <w:ind w:left="404" w:right="391"/>
              <w:rPr>
                <w:sz w:val="20"/>
                <w:szCs w:val="20"/>
              </w:rPr>
            </w:pPr>
            <w:r w:rsidRPr="00687DBB">
              <w:rPr>
                <w:sz w:val="20"/>
                <w:szCs w:val="20"/>
              </w:rPr>
              <w:t>+++</w:t>
            </w:r>
          </w:p>
        </w:tc>
        <w:tc>
          <w:tcPr>
            <w:tcW w:w="1689" w:type="dxa"/>
            <w:tcBorders>
              <w:top w:val="single" w:sz="4" w:space="0" w:color="000000"/>
              <w:bottom w:val="single" w:sz="4" w:space="0" w:color="000000"/>
              <w:right w:val="single" w:sz="4" w:space="0" w:color="000000"/>
            </w:tcBorders>
          </w:tcPr>
          <w:p w14:paraId="601D1CB3" w14:textId="77777777" w:rsidR="0049032D" w:rsidRPr="00687DBB" w:rsidRDefault="0049032D" w:rsidP="003E4A6B">
            <w:pPr>
              <w:pStyle w:val="TableParagraph"/>
              <w:spacing w:before="152"/>
              <w:ind w:left="682" w:right="673"/>
              <w:rPr>
                <w:sz w:val="20"/>
                <w:szCs w:val="20"/>
              </w:rPr>
            </w:pPr>
            <w:r w:rsidRPr="00687DBB">
              <w:rPr>
                <w:sz w:val="20"/>
                <w:szCs w:val="20"/>
              </w:rPr>
              <w:t>+++</w:t>
            </w:r>
          </w:p>
        </w:tc>
      </w:tr>
      <w:tr w:rsidR="0049032D" w:rsidRPr="00687DBB" w14:paraId="7DC2D521" w14:textId="77777777" w:rsidTr="003E4A6B">
        <w:trPr>
          <w:trHeight w:val="340"/>
        </w:trPr>
        <w:tc>
          <w:tcPr>
            <w:tcW w:w="1265" w:type="dxa"/>
            <w:tcBorders>
              <w:top w:val="single" w:sz="4" w:space="0" w:color="000000"/>
              <w:left w:val="single" w:sz="4" w:space="0" w:color="000000"/>
              <w:bottom w:val="single" w:sz="4" w:space="0" w:color="000000"/>
            </w:tcBorders>
          </w:tcPr>
          <w:p w14:paraId="36419BD4" w14:textId="77777777" w:rsidR="0049032D" w:rsidRPr="00214751" w:rsidRDefault="0049032D" w:rsidP="003E4A6B">
            <w:pPr>
              <w:pStyle w:val="TableParagraph"/>
              <w:rPr>
                <w:b/>
                <w:sz w:val="20"/>
                <w:szCs w:val="20"/>
              </w:rPr>
            </w:pPr>
            <w:r>
              <w:rPr>
                <w:b/>
                <w:sz w:val="20"/>
                <w:szCs w:val="20"/>
              </w:rPr>
              <w:t>ИФА</w:t>
            </w:r>
          </w:p>
        </w:tc>
        <w:tc>
          <w:tcPr>
            <w:tcW w:w="1133" w:type="dxa"/>
            <w:tcBorders>
              <w:top w:val="single" w:sz="4" w:space="0" w:color="000000"/>
              <w:bottom w:val="single" w:sz="4" w:space="0" w:color="000000"/>
            </w:tcBorders>
          </w:tcPr>
          <w:p w14:paraId="0E03DF8C" w14:textId="77777777" w:rsidR="0049032D" w:rsidRPr="00687DBB" w:rsidRDefault="0049032D" w:rsidP="003E4A6B">
            <w:pPr>
              <w:pStyle w:val="TableParagraph"/>
              <w:ind w:left="183" w:right="172"/>
              <w:rPr>
                <w:sz w:val="20"/>
                <w:szCs w:val="20"/>
              </w:rPr>
            </w:pPr>
            <w:r w:rsidRPr="00687DBB">
              <w:rPr>
                <w:sz w:val="20"/>
                <w:szCs w:val="20"/>
              </w:rPr>
              <w:t>+++</w:t>
            </w:r>
          </w:p>
        </w:tc>
        <w:tc>
          <w:tcPr>
            <w:tcW w:w="1419" w:type="dxa"/>
            <w:tcBorders>
              <w:top w:val="single" w:sz="4" w:space="0" w:color="000000"/>
              <w:bottom w:val="single" w:sz="4" w:space="0" w:color="000000"/>
            </w:tcBorders>
          </w:tcPr>
          <w:p w14:paraId="45A3B4EF" w14:textId="77777777" w:rsidR="0049032D" w:rsidRPr="00687DBB" w:rsidRDefault="0049032D" w:rsidP="003E4A6B">
            <w:pPr>
              <w:pStyle w:val="TableParagraph"/>
              <w:ind w:left="106" w:right="97"/>
              <w:rPr>
                <w:sz w:val="20"/>
                <w:szCs w:val="20"/>
              </w:rPr>
            </w:pPr>
            <w:r w:rsidRPr="00687DBB">
              <w:rPr>
                <w:sz w:val="20"/>
                <w:szCs w:val="20"/>
              </w:rPr>
              <w:t>+++</w:t>
            </w:r>
          </w:p>
        </w:tc>
        <w:tc>
          <w:tcPr>
            <w:tcW w:w="1274" w:type="dxa"/>
            <w:tcBorders>
              <w:top w:val="single" w:sz="4" w:space="0" w:color="000000"/>
              <w:bottom w:val="single" w:sz="4" w:space="0" w:color="000000"/>
            </w:tcBorders>
          </w:tcPr>
          <w:p w14:paraId="3460FBB5" w14:textId="77777777" w:rsidR="0049032D" w:rsidRPr="00687DBB" w:rsidRDefault="0049032D" w:rsidP="003E4A6B">
            <w:pPr>
              <w:pStyle w:val="TableParagraph"/>
              <w:ind w:left="172" w:right="163"/>
              <w:rPr>
                <w:sz w:val="20"/>
                <w:szCs w:val="20"/>
              </w:rPr>
            </w:pPr>
            <w:r w:rsidRPr="00687DBB">
              <w:rPr>
                <w:sz w:val="20"/>
                <w:szCs w:val="20"/>
              </w:rPr>
              <w:t>+++</w:t>
            </w:r>
          </w:p>
        </w:tc>
        <w:tc>
          <w:tcPr>
            <w:tcW w:w="1135" w:type="dxa"/>
            <w:tcBorders>
              <w:top w:val="single" w:sz="4" w:space="0" w:color="000000"/>
              <w:bottom w:val="single" w:sz="4" w:space="0" w:color="000000"/>
            </w:tcBorders>
          </w:tcPr>
          <w:p w14:paraId="07A52227" w14:textId="77777777" w:rsidR="0049032D" w:rsidRPr="00687DBB" w:rsidRDefault="0049032D" w:rsidP="003E4A6B">
            <w:pPr>
              <w:pStyle w:val="TableParagraph"/>
              <w:ind w:left="10"/>
              <w:rPr>
                <w:sz w:val="20"/>
                <w:szCs w:val="20"/>
              </w:rPr>
            </w:pPr>
            <w:r w:rsidRPr="00687DBB">
              <w:rPr>
                <w:sz w:val="20"/>
                <w:szCs w:val="20"/>
              </w:rPr>
              <w:t>+</w:t>
            </w:r>
          </w:p>
        </w:tc>
        <w:tc>
          <w:tcPr>
            <w:tcW w:w="1132" w:type="dxa"/>
            <w:tcBorders>
              <w:top w:val="single" w:sz="4" w:space="0" w:color="000000"/>
              <w:bottom w:val="single" w:sz="4" w:space="0" w:color="000000"/>
            </w:tcBorders>
          </w:tcPr>
          <w:p w14:paraId="651BEC03" w14:textId="77777777" w:rsidR="0049032D" w:rsidRPr="00687DBB" w:rsidRDefault="0049032D" w:rsidP="003E4A6B">
            <w:pPr>
              <w:pStyle w:val="TableParagraph"/>
              <w:ind w:left="404" w:right="391"/>
              <w:rPr>
                <w:sz w:val="20"/>
                <w:szCs w:val="20"/>
              </w:rPr>
            </w:pPr>
            <w:r w:rsidRPr="00687DBB">
              <w:rPr>
                <w:sz w:val="20"/>
                <w:szCs w:val="20"/>
              </w:rPr>
              <w:t>+++</w:t>
            </w:r>
          </w:p>
        </w:tc>
        <w:tc>
          <w:tcPr>
            <w:tcW w:w="1689" w:type="dxa"/>
            <w:tcBorders>
              <w:top w:val="single" w:sz="4" w:space="0" w:color="000000"/>
              <w:bottom w:val="single" w:sz="4" w:space="0" w:color="000000"/>
              <w:right w:val="single" w:sz="4" w:space="0" w:color="000000"/>
            </w:tcBorders>
          </w:tcPr>
          <w:p w14:paraId="7B3A119E" w14:textId="77777777" w:rsidR="0049032D" w:rsidRPr="00687DBB" w:rsidRDefault="0049032D" w:rsidP="003E4A6B">
            <w:pPr>
              <w:pStyle w:val="TableParagraph"/>
              <w:ind w:left="682" w:right="673"/>
              <w:rPr>
                <w:sz w:val="20"/>
                <w:szCs w:val="20"/>
              </w:rPr>
            </w:pPr>
            <w:r w:rsidRPr="00687DBB">
              <w:rPr>
                <w:sz w:val="20"/>
                <w:szCs w:val="20"/>
              </w:rPr>
              <w:t>+++</w:t>
            </w:r>
          </w:p>
        </w:tc>
      </w:tr>
      <w:tr w:rsidR="0049032D" w:rsidRPr="00687DBB" w14:paraId="324BA1E8" w14:textId="77777777" w:rsidTr="0049032D">
        <w:trPr>
          <w:trHeight w:val="340"/>
        </w:trPr>
        <w:tc>
          <w:tcPr>
            <w:tcW w:w="1265" w:type="dxa"/>
            <w:tcBorders>
              <w:top w:val="single" w:sz="4" w:space="0" w:color="000000"/>
              <w:left w:val="single" w:sz="4" w:space="0" w:color="000000"/>
              <w:bottom w:val="single" w:sz="4" w:space="0" w:color="000000"/>
            </w:tcBorders>
          </w:tcPr>
          <w:p w14:paraId="36774135" w14:textId="77777777" w:rsidR="0049032D" w:rsidRPr="00B703B0" w:rsidRDefault="0049032D" w:rsidP="003E4A6B">
            <w:pPr>
              <w:pStyle w:val="TableParagraph"/>
              <w:ind w:left="142" w:right="122"/>
              <w:rPr>
                <w:sz w:val="20"/>
                <w:szCs w:val="20"/>
              </w:rPr>
            </w:pPr>
            <w:r>
              <w:rPr>
                <w:sz w:val="20"/>
                <w:szCs w:val="20"/>
              </w:rPr>
              <w:t>НВ</w:t>
            </w:r>
          </w:p>
        </w:tc>
        <w:tc>
          <w:tcPr>
            <w:tcW w:w="1133" w:type="dxa"/>
            <w:tcBorders>
              <w:top w:val="single" w:sz="4" w:space="0" w:color="000000"/>
              <w:bottom w:val="single" w:sz="4" w:space="0" w:color="000000"/>
            </w:tcBorders>
          </w:tcPr>
          <w:p w14:paraId="180D6F97" w14:textId="77777777" w:rsidR="0049032D" w:rsidRPr="00687DBB" w:rsidRDefault="0049032D" w:rsidP="003E4A6B">
            <w:pPr>
              <w:pStyle w:val="TableParagraph"/>
              <w:ind w:left="11"/>
              <w:rPr>
                <w:sz w:val="20"/>
                <w:szCs w:val="20"/>
              </w:rPr>
            </w:pPr>
            <w:r w:rsidRPr="00687DBB">
              <w:rPr>
                <w:sz w:val="20"/>
                <w:szCs w:val="20"/>
              </w:rPr>
              <w:t>+</w:t>
            </w:r>
          </w:p>
        </w:tc>
        <w:tc>
          <w:tcPr>
            <w:tcW w:w="1419" w:type="dxa"/>
            <w:tcBorders>
              <w:top w:val="single" w:sz="4" w:space="0" w:color="000000"/>
              <w:bottom w:val="single" w:sz="4" w:space="0" w:color="000000"/>
            </w:tcBorders>
          </w:tcPr>
          <w:p w14:paraId="567EA575" w14:textId="77777777" w:rsidR="0049032D" w:rsidRPr="00687DBB" w:rsidRDefault="0049032D" w:rsidP="003E4A6B">
            <w:pPr>
              <w:pStyle w:val="TableParagraph"/>
              <w:rPr>
                <w:sz w:val="20"/>
                <w:szCs w:val="20"/>
              </w:rPr>
            </w:pPr>
            <w:r w:rsidRPr="00687DBB">
              <w:rPr>
                <w:sz w:val="20"/>
                <w:szCs w:val="20"/>
              </w:rPr>
              <w:t>+</w:t>
            </w:r>
          </w:p>
        </w:tc>
        <w:tc>
          <w:tcPr>
            <w:tcW w:w="1274" w:type="dxa"/>
            <w:tcBorders>
              <w:top w:val="single" w:sz="4" w:space="0" w:color="000000"/>
              <w:bottom w:val="single" w:sz="4" w:space="0" w:color="000000"/>
            </w:tcBorders>
          </w:tcPr>
          <w:p w14:paraId="539E5CC8" w14:textId="77777777" w:rsidR="0049032D" w:rsidRPr="00687DBB" w:rsidRDefault="0049032D" w:rsidP="003E4A6B">
            <w:pPr>
              <w:pStyle w:val="TableParagraph"/>
              <w:rPr>
                <w:sz w:val="20"/>
                <w:szCs w:val="20"/>
              </w:rPr>
            </w:pPr>
            <w:r w:rsidRPr="00687DBB">
              <w:rPr>
                <w:sz w:val="20"/>
                <w:szCs w:val="20"/>
              </w:rPr>
              <w:t>+</w:t>
            </w:r>
          </w:p>
        </w:tc>
        <w:tc>
          <w:tcPr>
            <w:tcW w:w="1135" w:type="dxa"/>
            <w:tcBorders>
              <w:top w:val="single" w:sz="4" w:space="0" w:color="000000"/>
              <w:bottom w:val="single" w:sz="4" w:space="0" w:color="000000"/>
            </w:tcBorders>
          </w:tcPr>
          <w:p w14:paraId="7D5A5858" w14:textId="77777777" w:rsidR="0049032D" w:rsidRPr="00687DBB" w:rsidRDefault="0049032D" w:rsidP="003E4A6B">
            <w:pPr>
              <w:pStyle w:val="TableParagraph"/>
              <w:ind w:left="10"/>
              <w:rPr>
                <w:sz w:val="20"/>
                <w:szCs w:val="20"/>
              </w:rPr>
            </w:pPr>
            <w:r w:rsidRPr="00687DBB">
              <w:rPr>
                <w:sz w:val="20"/>
                <w:szCs w:val="20"/>
              </w:rPr>
              <w:t>+</w:t>
            </w:r>
          </w:p>
        </w:tc>
        <w:tc>
          <w:tcPr>
            <w:tcW w:w="1132" w:type="dxa"/>
            <w:tcBorders>
              <w:top w:val="single" w:sz="4" w:space="0" w:color="000000"/>
              <w:bottom w:val="single" w:sz="4" w:space="0" w:color="000000"/>
            </w:tcBorders>
          </w:tcPr>
          <w:p w14:paraId="0DFC1332" w14:textId="77777777" w:rsidR="0049032D" w:rsidRPr="00687DBB" w:rsidRDefault="0049032D" w:rsidP="003E4A6B">
            <w:pPr>
              <w:pStyle w:val="TableParagraph"/>
              <w:ind w:left="14"/>
              <w:rPr>
                <w:sz w:val="20"/>
                <w:szCs w:val="20"/>
              </w:rPr>
            </w:pPr>
            <w:r w:rsidRPr="00687DBB">
              <w:rPr>
                <w:sz w:val="20"/>
                <w:szCs w:val="20"/>
              </w:rPr>
              <w:t>+</w:t>
            </w:r>
          </w:p>
        </w:tc>
        <w:tc>
          <w:tcPr>
            <w:tcW w:w="1689" w:type="dxa"/>
            <w:tcBorders>
              <w:top w:val="single" w:sz="4" w:space="0" w:color="000000"/>
              <w:bottom w:val="single" w:sz="4" w:space="0" w:color="000000"/>
              <w:right w:val="single" w:sz="4" w:space="0" w:color="000000"/>
            </w:tcBorders>
          </w:tcPr>
          <w:p w14:paraId="1A7915F2" w14:textId="77777777" w:rsidR="0049032D" w:rsidRPr="00687DBB" w:rsidRDefault="0049032D" w:rsidP="003E4A6B">
            <w:pPr>
              <w:pStyle w:val="TableParagraph"/>
              <w:ind w:left="682" w:right="673"/>
              <w:rPr>
                <w:sz w:val="20"/>
                <w:szCs w:val="20"/>
              </w:rPr>
            </w:pPr>
            <w:r w:rsidRPr="00687DBB">
              <w:rPr>
                <w:sz w:val="20"/>
                <w:szCs w:val="20"/>
              </w:rPr>
              <w:t>+++</w:t>
            </w:r>
          </w:p>
        </w:tc>
      </w:tr>
      <w:tr w:rsidR="0049032D" w:rsidRPr="006E4316" w14:paraId="0BB0CD39" w14:textId="77777777" w:rsidTr="001E4382">
        <w:trPr>
          <w:trHeight w:val="340"/>
        </w:trPr>
        <w:tc>
          <w:tcPr>
            <w:tcW w:w="9047" w:type="dxa"/>
            <w:gridSpan w:val="7"/>
            <w:tcBorders>
              <w:top w:val="single" w:sz="4" w:space="0" w:color="000000"/>
              <w:left w:val="single" w:sz="4" w:space="0" w:color="000000"/>
              <w:right w:val="single" w:sz="4" w:space="0" w:color="000000"/>
            </w:tcBorders>
          </w:tcPr>
          <w:p w14:paraId="1A8F1594" w14:textId="77777777" w:rsidR="0049032D" w:rsidRDefault="0049032D" w:rsidP="0049032D">
            <w:pPr>
              <w:adjustRightInd w:val="0"/>
              <w:spacing w:after="0" w:line="240" w:lineRule="auto"/>
              <w:ind w:left="0" w:right="0" w:firstLine="0"/>
              <w:rPr>
                <w:color w:val="auto"/>
                <w:sz w:val="20"/>
                <w:szCs w:val="20"/>
                <w:lang w:val="ru-RU"/>
              </w:rPr>
            </w:pPr>
            <w:r w:rsidRPr="00C70CE7">
              <w:rPr>
                <w:color w:val="auto"/>
                <w:sz w:val="20"/>
                <w:szCs w:val="20"/>
                <w:lang w:val="ru-RU"/>
              </w:rPr>
              <w:t xml:space="preserve">Примечание - </w:t>
            </w:r>
            <w:r>
              <w:rPr>
                <w:color w:val="auto"/>
                <w:sz w:val="20"/>
                <w:szCs w:val="20"/>
                <w:lang w:val="ru-RU"/>
              </w:rPr>
              <w:t>+++ =</w:t>
            </w:r>
            <w:r w:rsidRPr="00C70CE7">
              <w:rPr>
                <w:color w:val="auto"/>
                <w:sz w:val="20"/>
                <w:szCs w:val="20"/>
                <w:lang w:val="ru-RU"/>
              </w:rPr>
              <w:t xml:space="preserve"> рекомендуется для этой цели; </w:t>
            </w:r>
          </w:p>
          <w:p w14:paraId="7E3B8F80" w14:textId="77777777" w:rsidR="0049032D" w:rsidRDefault="0049032D" w:rsidP="0049032D">
            <w:pPr>
              <w:adjustRightInd w:val="0"/>
              <w:spacing w:after="0" w:line="240" w:lineRule="auto"/>
              <w:ind w:left="0" w:right="0" w:firstLine="0"/>
              <w:rPr>
                <w:color w:val="auto"/>
                <w:sz w:val="20"/>
                <w:szCs w:val="20"/>
                <w:lang w:val="ru-RU"/>
              </w:rPr>
            </w:pPr>
            <w:r>
              <w:rPr>
                <w:color w:val="auto"/>
                <w:sz w:val="20"/>
                <w:szCs w:val="20"/>
                <w:lang w:val="ru-RU"/>
              </w:rPr>
              <w:t xml:space="preserve">                        </w:t>
            </w:r>
            <w:r w:rsidRPr="00C70CE7">
              <w:rPr>
                <w:color w:val="auto"/>
                <w:sz w:val="20"/>
                <w:szCs w:val="20"/>
                <w:lang w:val="ru-RU"/>
              </w:rPr>
              <w:t xml:space="preserve">++ </w:t>
            </w:r>
            <w:r>
              <w:rPr>
                <w:color w:val="auto"/>
                <w:sz w:val="20"/>
                <w:szCs w:val="20"/>
                <w:lang w:val="ru-RU"/>
              </w:rPr>
              <w:t xml:space="preserve">= </w:t>
            </w:r>
            <w:r w:rsidRPr="00C70CE7">
              <w:rPr>
                <w:color w:val="auto"/>
                <w:sz w:val="20"/>
                <w:szCs w:val="20"/>
                <w:lang w:val="ru-RU"/>
              </w:rPr>
              <w:t xml:space="preserve">рекомендуется, но имеет ограничения; </w:t>
            </w:r>
          </w:p>
          <w:p w14:paraId="4DFD1F4E" w14:textId="77777777" w:rsidR="0049032D" w:rsidRDefault="0049032D" w:rsidP="0049032D">
            <w:pPr>
              <w:adjustRightInd w:val="0"/>
              <w:spacing w:after="0" w:line="240" w:lineRule="auto"/>
              <w:ind w:left="0" w:right="0" w:firstLine="0"/>
              <w:rPr>
                <w:color w:val="auto"/>
                <w:sz w:val="20"/>
                <w:szCs w:val="20"/>
                <w:lang w:val="ru-RU"/>
              </w:rPr>
            </w:pPr>
            <w:r>
              <w:rPr>
                <w:color w:val="auto"/>
                <w:sz w:val="20"/>
                <w:szCs w:val="20"/>
                <w:lang w:val="ru-RU"/>
              </w:rPr>
              <w:t xml:space="preserve">                        + =</w:t>
            </w:r>
            <w:r w:rsidRPr="00C70CE7">
              <w:rPr>
                <w:color w:val="auto"/>
                <w:sz w:val="20"/>
                <w:szCs w:val="20"/>
                <w:lang w:val="ru-RU"/>
              </w:rPr>
              <w:t xml:space="preserve"> подходит в очень ограниченных обстоятельствах; </w:t>
            </w:r>
          </w:p>
          <w:p w14:paraId="02A6CC48" w14:textId="77777777" w:rsidR="0049032D" w:rsidRDefault="0049032D" w:rsidP="0049032D">
            <w:pPr>
              <w:adjustRightInd w:val="0"/>
              <w:spacing w:after="0" w:line="240" w:lineRule="auto"/>
              <w:ind w:left="0" w:right="0" w:firstLine="0"/>
              <w:rPr>
                <w:color w:val="auto"/>
                <w:sz w:val="20"/>
                <w:szCs w:val="20"/>
                <w:lang w:val="ru-RU"/>
              </w:rPr>
            </w:pPr>
            <w:r>
              <w:rPr>
                <w:color w:val="auto"/>
                <w:sz w:val="20"/>
                <w:szCs w:val="20"/>
                <w:lang w:val="ru-RU"/>
              </w:rPr>
              <w:t xml:space="preserve">                        - =</w:t>
            </w:r>
            <w:r w:rsidRPr="00C70CE7">
              <w:rPr>
                <w:color w:val="auto"/>
                <w:sz w:val="20"/>
                <w:szCs w:val="20"/>
                <w:lang w:val="ru-RU"/>
              </w:rPr>
              <w:t xml:space="preserve"> не подходит для этой цели. </w:t>
            </w:r>
          </w:p>
          <w:p w14:paraId="53F78A92" w14:textId="77777777" w:rsidR="0049032D" w:rsidRPr="0049032D" w:rsidRDefault="0049032D" w:rsidP="0049032D">
            <w:pPr>
              <w:adjustRightInd w:val="0"/>
              <w:spacing w:after="0" w:line="240" w:lineRule="auto"/>
              <w:ind w:left="0" w:right="0" w:firstLine="0"/>
              <w:rPr>
                <w:color w:val="auto"/>
                <w:sz w:val="20"/>
                <w:szCs w:val="20"/>
                <w:lang w:val="ru-RU"/>
              </w:rPr>
            </w:pPr>
            <w:r>
              <w:rPr>
                <w:color w:val="auto"/>
                <w:sz w:val="20"/>
                <w:szCs w:val="20"/>
                <w:lang w:val="ru-RU"/>
              </w:rPr>
              <w:t xml:space="preserve">                        </w:t>
            </w:r>
            <w:r w:rsidRPr="0049032D">
              <w:rPr>
                <w:color w:val="auto"/>
                <w:sz w:val="20"/>
                <w:szCs w:val="20"/>
                <w:lang w:val="ru-RU"/>
              </w:rPr>
              <w:t xml:space="preserve">ПЦР = полимеразная цепная реакция; </w:t>
            </w:r>
          </w:p>
          <w:p w14:paraId="5A8BE785" w14:textId="77777777" w:rsidR="0049032D" w:rsidRPr="0049032D" w:rsidRDefault="0049032D" w:rsidP="0049032D">
            <w:pPr>
              <w:adjustRightInd w:val="0"/>
              <w:spacing w:after="0" w:line="240" w:lineRule="auto"/>
              <w:ind w:left="0" w:right="0" w:firstLine="1089"/>
              <w:rPr>
                <w:color w:val="auto"/>
                <w:sz w:val="20"/>
                <w:szCs w:val="20"/>
                <w:lang w:val="ru-RU"/>
              </w:rPr>
            </w:pPr>
            <w:r>
              <w:rPr>
                <w:color w:val="auto"/>
                <w:sz w:val="20"/>
                <w:szCs w:val="20"/>
                <w:lang w:val="ru-RU"/>
              </w:rPr>
              <w:t xml:space="preserve">  </w:t>
            </w:r>
            <w:r w:rsidRPr="0049032D">
              <w:rPr>
                <w:color w:val="auto"/>
                <w:sz w:val="20"/>
                <w:szCs w:val="20"/>
                <w:lang w:val="ru-RU"/>
              </w:rPr>
              <w:t>ИФА = твердофазный иммуноферментный анализ;</w:t>
            </w:r>
          </w:p>
          <w:p w14:paraId="443DBA0D" w14:textId="77777777" w:rsidR="0049032D" w:rsidRDefault="0049032D" w:rsidP="0049032D">
            <w:pPr>
              <w:adjustRightInd w:val="0"/>
              <w:spacing w:after="0" w:line="240" w:lineRule="auto"/>
              <w:ind w:left="0" w:right="0" w:firstLine="1089"/>
              <w:rPr>
                <w:color w:val="auto"/>
                <w:sz w:val="20"/>
                <w:szCs w:val="20"/>
                <w:lang w:val="ru-RU"/>
              </w:rPr>
            </w:pPr>
            <w:r>
              <w:rPr>
                <w:color w:val="auto"/>
                <w:sz w:val="20"/>
                <w:szCs w:val="20"/>
                <w:lang w:val="ru-RU"/>
              </w:rPr>
              <w:t xml:space="preserve">  </w:t>
            </w:r>
            <w:r w:rsidRPr="0049032D">
              <w:rPr>
                <w:color w:val="auto"/>
                <w:sz w:val="20"/>
                <w:szCs w:val="20"/>
                <w:lang w:val="ru-RU"/>
              </w:rPr>
              <w:t>VN = нейтрализация вируса.</w:t>
            </w:r>
          </w:p>
          <w:p w14:paraId="0F174B4F" w14:textId="77777777" w:rsidR="0049032D" w:rsidRPr="0049032D" w:rsidRDefault="0049032D" w:rsidP="0049032D">
            <w:pPr>
              <w:adjustRightInd w:val="0"/>
              <w:spacing w:after="0" w:line="240" w:lineRule="auto"/>
              <w:ind w:left="0" w:right="0" w:firstLine="1089"/>
              <w:rPr>
                <w:sz w:val="20"/>
                <w:szCs w:val="20"/>
                <w:lang w:val="ru-RU"/>
              </w:rPr>
            </w:pPr>
            <w:r w:rsidRPr="0049032D">
              <w:rPr>
                <w:bCs/>
                <w:sz w:val="20"/>
                <w:szCs w:val="20"/>
                <w:vertAlign w:val="superscript"/>
                <w:lang w:val="ru-RU"/>
              </w:rPr>
              <w:t>1</w:t>
            </w:r>
            <w:r w:rsidRPr="0049032D">
              <w:rPr>
                <w:bCs/>
                <w:sz w:val="20"/>
                <w:szCs w:val="20"/>
                <w:lang w:val="ru-RU"/>
              </w:rPr>
              <w:t xml:space="preserve"> Рекомендуется сочетание методов идентификации возбудителя, применяемых к одному и тому же клиническому образцу.</w:t>
            </w:r>
          </w:p>
        </w:tc>
      </w:tr>
    </w:tbl>
    <w:p w14:paraId="18BDCE0A" w14:textId="77777777" w:rsidR="006827AC" w:rsidRDefault="006827AC" w:rsidP="00C70CE7">
      <w:pPr>
        <w:spacing w:after="0" w:line="240" w:lineRule="auto"/>
        <w:rPr>
          <w:color w:val="auto"/>
          <w:lang w:val="ru-RU"/>
        </w:rPr>
      </w:pPr>
    </w:p>
    <w:p w14:paraId="4496104D" w14:textId="77777777" w:rsidR="006827AC" w:rsidRDefault="006827AC" w:rsidP="00C70CE7">
      <w:pPr>
        <w:spacing w:after="0" w:line="240" w:lineRule="auto"/>
        <w:rPr>
          <w:color w:val="auto"/>
          <w:lang w:val="ru-RU"/>
        </w:rPr>
      </w:pPr>
    </w:p>
    <w:p w14:paraId="4BFC3C6E" w14:textId="77777777" w:rsidR="006827AC" w:rsidRDefault="006827AC" w:rsidP="00C70CE7">
      <w:pPr>
        <w:spacing w:after="0" w:line="240" w:lineRule="auto"/>
        <w:rPr>
          <w:color w:val="auto"/>
          <w:lang w:val="ru-RU"/>
        </w:rPr>
      </w:pPr>
    </w:p>
    <w:p w14:paraId="26A7155D" w14:textId="77777777" w:rsidR="006827AC" w:rsidRDefault="006827AC" w:rsidP="00C70CE7">
      <w:pPr>
        <w:spacing w:after="0" w:line="240" w:lineRule="auto"/>
        <w:rPr>
          <w:color w:val="auto"/>
          <w:lang w:val="ru-RU"/>
        </w:rPr>
      </w:pPr>
    </w:p>
    <w:p w14:paraId="72EB5C9C" w14:textId="77777777" w:rsidR="006827AC" w:rsidRPr="006827AC" w:rsidRDefault="006827AC" w:rsidP="006827AC">
      <w:pPr>
        <w:pBdr>
          <w:top w:val="single" w:sz="4" w:space="1" w:color="auto"/>
        </w:pBdr>
        <w:spacing w:after="0" w:line="240" w:lineRule="auto"/>
        <w:ind w:firstLine="557"/>
        <w:rPr>
          <w:b/>
          <w:color w:val="auto"/>
          <w:lang w:val="ru-RU"/>
        </w:rPr>
      </w:pPr>
      <w:r w:rsidRPr="006827AC">
        <w:rPr>
          <w:b/>
          <w:color w:val="auto"/>
          <w:lang w:val="ru-RU"/>
        </w:rPr>
        <w:t>Проект, 1 редакция</w:t>
      </w:r>
    </w:p>
    <w:p w14:paraId="4A4CC5FB" w14:textId="77777777" w:rsidR="0049032D" w:rsidRPr="0049032D" w:rsidRDefault="0049032D" w:rsidP="0049032D">
      <w:pPr>
        <w:spacing w:after="160" w:line="259" w:lineRule="auto"/>
        <w:ind w:left="0" w:right="0" w:firstLine="567"/>
        <w:jc w:val="left"/>
        <w:rPr>
          <w:b/>
          <w:color w:val="auto"/>
          <w:lang w:val="ru-RU"/>
        </w:rPr>
      </w:pPr>
      <w:r>
        <w:rPr>
          <w:b/>
          <w:color w:val="auto"/>
          <w:lang w:val="ru-RU"/>
        </w:rPr>
        <w:lastRenderedPageBreak/>
        <w:t>2</w:t>
      </w:r>
      <w:r w:rsidRPr="0049032D">
        <w:rPr>
          <w:b/>
          <w:color w:val="auto"/>
          <w:lang w:val="ru-RU"/>
        </w:rPr>
        <w:t xml:space="preserve"> Идентификация возбудителя</w:t>
      </w:r>
    </w:p>
    <w:p w14:paraId="7E540B04" w14:textId="77777777" w:rsidR="0049032D" w:rsidRPr="0049032D" w:rsidRDefault="0049032D" w:rsidP="0049032D">
      <w:pPr>
        <w:spacing w:after="160" w:line="259" w:lineRule="auto"/>
        <w:ind w:left="0" w:right="0" w:firstLine="567"/>
        <w:jc w:val="left"/>
        <w:rPr>
          <w:b/>
          <w:color w:val="auto"/>
          <w:lang w:val="ru-RU"/>
        </w:rPr>
      </w:pPr>
      <w:r>
        <w:rPr>
          <w:b/>
          <w:color w:val="auto"/>
          <w:lang w:val="ru-RU"/>
        </w:rPr>
        <w:t>2</w:t>
      </w:r>
      <w:r w:rsidRPr="0049032D">
        <w:rPr>
          <w:b/>
          <w:color w:val="auto"/>
          <w:lang w:val="ru-RU"/>
        </w:rPr>
        <w:t>.1 Выделение вируса</w:t>
      </w:r>
    </w:p>
    <w:p w14:paraId="79379AAD" w14:textId="77777777" w:rsidR="0049032D" w:rsidRDefault="0049032D" w:rsidP="0049032D">
      <w:pPr>
        <w:spacing w:after="0" w:line="240" w:lineRule="auto"/>
        <w:ind w:left="0" w:right="0" w:firstLine="567"/>
        <w:rPr>
          <w:bCs/>
          <w:color w:val="auto"/>
          <w:lang w:val="ru-RU"/>
        </w:rPr>
      </w:pPr>
      <w:r w:rsidRPr="0049032D">
        <w:rPr>
          <w:bCs/>
          <w:color w:val="auto"/>
          <w:lang w:val="ru-RU"/>
        </w:rPr>
        <w:t xml:space="preserve">Диагноз болезни </w:t>
      </w:r>
      <w:proofErr w:type="spellStart"/>
      <w:r w:rsidRPr="0049032D">
        <w:rPr>
          <w:bCs/>
          <w:color w:val="auto"/>
          <w:lang w:val="ru-RU"/>
        </w:rPr>
        <w:t>Ауески</w:t>
      </w:r>
      <w:proofErr w:type="spellEnd"/>
      <w:r w:rsidRPr="0049032D">
        <w:rPr>
          <w:bCs/>
          <w:color w:val="auto"/>
          <w:lang w:val="ru-RU"/>
        </w:rPr>
        <w:t xml:space="preserve"> может быть подтвержден путем выделения вируса из </w:t>
      </w:r>
      <w:proofErr w:type="spellStart"/>
      <w:r w:rsidRPr="0049032D">
        <w:rPr>
          <w:bCs/>
          <w:color w:val="auto"/>
          <w:lang w:val="ru-RU"/>
        </w:rPr>
        <w:t>ротоглоточной</w:t>
      </w:r>
      <w:proofErr w:type="spellEnd"/>
      <w:r w:rsidRPr="0049032D">
        <w:rPr>
          <w:bCs/>
          <w:color w:val="auto"/>
          <w:lang w:val="ru-RU"/>
        </w:rPr>
        <w:t xml:space="preserve"> жидкости, носовой жидкости (мазка) или мазков миндалин у живых свиней или из образцов, взятых у мертвых свиней, или после появления клинических признаков, таких как энцефалит у травоядных или плотоядных (хищных) животных. Для посмертной изоляции SHV-1 предпочтительными образцами являются образцы головного мозга, миндалин и легких. У крупного рогатого скота инфекция обычно характеризуется зудом, и в этом случае может потребоваться образец соответствующего отдела спинного мозга для выделения вируса.</w:t>
      </w:r>
    </w:p>
    <w:p w14:paraId="6535D35C" w14:textId="77777777" w:rsidR="0049032D" w:rsidRPr="0049032D" w:rsidRDefault="0049032D" w:rsidP="0049032D">
      <w:pPr>
        <w:spacing w:after="0" w:line="240" w:lineRule="auto"/>
        <w:ind w:left="0" w:right="0" w:firstLine="567"/>
        <w:rPr>
          <w:bCs/>
          <w:color w:val="auto"/>
          <w:lang w:val="ru-RU"/>
        </w:rPr>
      </w:pPr>
      <w:r w:rsidRPr="0049032D">
        <w:rPr>
          <w:bCs/>
          <w:color w:val="auto"/>
          <w:lang w:val="ru-RU"/>
        </w:rPr>
        <w:t>У латентно инфицированных свиней тройничный ганглий является наиболее постоянным местом выделения вируса, хотя латентный вирус обычно неинфекционный, если не реактивирован, что затрудняет его восстановление в культуре.</w:t>
      </w:r>
    </w:p>
    <w:p w14:paraId="5CFA5BA5" w14:textId="77777777" w:rsidR="0049032D" w:rsidRPr="0049032D" w:rsidRDefault="0049032D" w:rsidP="0049032D">
      <w:pPr>
        <w:spacing w:after="0" w:line="240" w:lineRule="auto"/>
        <w:ind w:left="0" w:right="0" w:firstLine="567"/>
        <w:rPr>
          <w:bCs/>
          <w:color w:val="auto"/>
          <w:lang w:val="ru-RU"/>
        </w:rPr>
      </w:pPr>
      <w:r w:rsidRPr="0049032D">
        <w:rPr>
          <w:bCs/>
          <w:color w:val="auto"/>
          <w:lang w:val="ru-RU"/>
        </w:rPr>
        <w:t xml:space="preserve">Образцы тканей гомогенизируют в физиологическом растворе или в </w:t>
      </w:r>
      <w:proofErr w:type="spellStart"/>
      <w:r w:rsidRPr="0049032D">
        <w:rPr>
          <w:bCs/>
          <w:color w:val="auto"/>
          <w:lang w:val="ru-RU"/>
        </w:rPr>
        <w:t>культуральной</w:t>
      </w:r>
      <w:proofErr w:type="spellEnd"/>
      <w:r w:rsidRPr="0049032D">
        <w:rPr>
          <w:bCs/>
          <w:color w:val="auto"/>
          <w:lang w:val="ru-RU"/>
        </w:rPr>
        <w:t xml:space="preserve"> среде с антибиотиками. Используемый метод должен подходить для последующего диагностического испытания. Количество гомогенизированной ткани должно учитывать возможное неоднородное распределение вируса. Рекомендуется </w:t>
      </w:r>
      <w:proofErr w:type="spellStart"/>
      <w:r w:rsidRPr="0049032D">
        <w:rPr>
          <w:bCs/>
          <w:color w:val="auto"/>
          <w:lang w:val="ru-RU"/>
        </w:rPr>
        <w:t>гомогенат</w:t>
      </w:r>
      <w:proofErr w:type="spellEnd"/>
      <w:r w:rsidRPr="0049032D">
        <w:rPr>
          <w:bCs/>
          <w:color w:val="auto"/>
          <w:lang w:val="ru-RU"/>
        </w:rPr>
        <w:t xml:space="preserve"> ткани приблизительно 10%. Полученную суспензию очищают низкоскоростным центрифугированием, т.е. при 900 g в течение 10 минут. </w:t>
      </w:r>
      <w:proofErr w:type="spellStart"/>
      <w:r w:rsidRPr="0049032D">
        <w:rPr>
          <w:bCs/>
          <w:color w:val="auto"/>
          <w:lang w:val="ru-RU"/>
        </w:rPr>
        <w:t>Надосадочную</w:t>
      </w:r>
      <w:proofErr w:type="spellEnd"/>
      <w:r w:rsidRPr="0049032D">
        <w:rPr>
          <w:bCs/>
          <w:color w:val="auto"/>
          <w:lang w:val="ru-RU"/>
        </w:rPr>
        <w:t xml:space="preserve"> жидкость используют для инокуляции любой чувствительной системы культивирования клеток. Многочисленные типы клеточных линий или первичных клеточных культур чувствительны к SHV-1, но обычно используют клеточную линию почек свиньи (PK-15 или SK6). Поверхностная среда для культур должна содержать антибиотики (такие как: 200 МЕ/мл пенициллина, 100 мкг/мл стрептомицина, 100 мкг/мл </w:t>
      </w:r>
      <w:proofErr w:type="spellStart"/>
      <w:r w:rsidRPr="0049032D">
        <w:rPr>
          <w:bCs/>
          <w:color w:val="auto"/>
          <w:lang w:val="ru-RU"/>
        </w:rPr>
        <w:t>полимиксина</w:t>
      </w:r>
      <w:proofErr w:type="spellEnd"/>
      <w:r w:rsidRPr="0049032D">
        <w:rPr>
          <w:bCs/>
          <w:color w:val="auto"/>
          <w:lang w:val="ru-RU"/>
        </w:rPr>
        <w:t xml:space="preserve"> и 3 мкг/мл </w:t>
      </w:r>
      <w:proofErr w:type="spellStart"/>
      <w:r w:rsidRPr="0049032D">
        <w:rPr>
          <w:bCs/>
          <w:color w:val="auto"/>
          <w:lang w:val="ru-RU"/>
        </w:rPr>
        <w:t>фунгизона</w:t>
      </w:r>
      <w:proofErr w:type="spellEnd"/>
      <w:r w:rsidRPr="0049032D">
        <w:rPr>
          <w:bCs/>
          <w:color w:val="auto"/>
          <w:lang w:val="ru-RU"/>
        </w:rPr>
        <w:t>).</w:t>
      </w:r>
    </w:p>
    <w:p w14:paraId="0B9AA003" w14:textId="77777777" w:rsidR="0049032D" w:rsidRPr="0049032D" w:rsidRDefault="0049032D" w:rsidP="0049032D">
      <w:pPr>
        <w:spacing w:after="0" w:line="240" w:lineRule="auto"/>
        <w:ind w:left="0" w:right="0" w:firstLine="567"/>
        <w:rPr>
          <w:bCs/>
          <w:color w:val="auto"/>
          <w:lang w:val="ru-RU"/>
        </w:rPr>
      </w:pPr>
      <w:r w:rsidRPr="0049032D">
        <w:rPr>
          <w:bCs/>
          <w:color w:val="auto"/>
          <w:lang w:val="ru-RU"/>
        </w:rPr>
        <w:t xml:space="preserve">SHV-1 индуцирует </w:t>
      </w:r>
      <w:proofErr w:type="spellStart"/>
      <w:r w:rsidRPr="0049032D">
        <w:rPr>
          <w:bCs/>
          <w:color w:val="auto"/>
          <w:lang w:val="ru-RU"/>
        </w:rPr>
        <w:t>цитопатический</w:t>
      </w:r>
      <w:proofErr w:type="spellEnd"/>
      <w:r w:rsidRPr="0049032D">
        <w:rPr>
          <w:bCs/>
          <w:color w:val="auto"/>
          <w:lang w:val="ru-RU"/>
        </w:rPr>
        <w:t xml:space="preserve"> эффект (ЦПЭ), который обычно проявляется в течение 24 - 72 часов, но клеточные культуры могут инкубироваться в течение 5 - 7 дней. В </w:t>
      </w:r>
      <w:proofErr w:type="spellStart"/>
      <w:r w:rsidRPr="0049032D">
        <w:rPr>
          <w:bCs/>
          <w:color w:val="auto"/>
          <w:lang w:val="ru-RU"/>
        </w:rPr>
        <w:t>монослое</w:t>
      </w:r>
      <w:proofErr w:type="spellEnd"/>
      <w:r w:rsidRPr="0049032D">
        <w:rPr>
          <w:bCs/>
          <w:color w:val="auto"/>
          <w:lang w:val="ru-RU"/>
        </w:rPr>
        <w:t xml:space="preserve"> образуются скопления клеток, обладающих свойствами двойного лучепреломления с последующим полным отслоением клеточного пласта. Также развиваются синцитии, внешний вид и размеры которых вариабельны. При отсутствии какого-либо явного ЦПЭ целесообразно сделать один слепой пассаж (пересев культуры </w:t>
      </w:r>
      <w:proofErr w:type="spellStart"/>
      <w:r w:rsidRPr="0049032D">
        <w:rPr>
          <w:bCs/>
          <w:color w:val="auto"/>
          <w:lang w:val="ru-RU"/>
        </w:rPr>
        <w:t>вирусинфицированных</w:t>
      </w:r>
      <w:proofErr w:type="spellEnd"/>
      <w:r w:rsidRPr="0049032D">
        <w:rPr>
          <w:bCs/>
          <w:color w:val="auto"/>
          <w:lang w:val="ru-RU"/>
        </w:rPr>
        <w:t xml:space="preserve"> клеток с целью увеличения выхода вирусных частиц в среду) в другие культуры. Дополнительные доказательства могут быть получены путем окрашивания инфицированных культур покровных стекол гематоксилином и эозином для выявления характерных </w:t>
      </w:r>
      <w:proofErr w:type="spellStart"/>
      <w:r w:rsidRPr="0049032D">
        <w:rPr>
          <w:bCs/>
          <w:color w:val="auto"/>
          <w:lang w:val="ru-RU"/>
        </w:rPr>
        <w:t>герпесвирусных</w:t>
      </w:r>
      <w:proofErr w:type="spellEnd"/>
      <w:r w:rsidRPr="0049032D">
        <w:rPr>
          <w:bCs/>
          <w:color w:val="auto"/>
          <w:lang w:val="ru-RU"/>
        </w:rPr>
        <w:t xml:space="preserve"> ацидофильных внутриядерных включений с окаймлением хроматина. Идентификацию вируса следует подтверждать с помощью </w:t>
      </w:r>
      <w:proofErr w:type="spellStart"/>
      <w:r w:rsidRPr="0049032D">
        <w:rPr>
          <w:bCs/>
          <w:color w:val="auto"/>
          <w:lang w:val="ru-RU"/>
        </w:rPr>
        <w:t>иммунофлуоресценции</w:t>
      </w:r>
      <w:proofErr w:type="spellEnd"/>
      <w:r w:rsidRPr="0049032D">
        <w:rPr>
          <w:bCs/>
          <w:color w:val="auto"/>
          <w:lang w:val="ru-RU"/>
        </w:rPr>
        <w:t xml:space="preserve">, </w:t>
      </w:r>
      <w:proofErr w:type="spellStart"/>
      <w:r w:rsidRPr="0049032D">
        <w:rPr>
          <w:bCs/>
          <w:color w:val="auto"/>
          <w:lang w:val="ru-RU"/>
        </w:rPr>
        <w:t>иммунопероксидазы</w:t>
      </w:r>
      <w:proofErr w:type="spellEnd"/>
      <w:r w:rsidRPr="0049032D">
        <w:rPr>
          <w:bCs/>
          <w:color w:val="auto"/>
          <w:lang w:val="ru-RU"/>
        </w:rPr>
        <w:t xml:space="preserve">, нейтрализации с использованием специфической </w:t>
      </w:r>
      <w:proofErr w:type="spellStart"/>
      <w:r w:rsidRPr="0049032D">
        <w:rPr>
          <w:bCs/>
          <w:color w:val="auto"/>
          <w:lang w:val="ru-RU"/>
        </w:rPr>
        <w:t>антисыворотки</w:t>
      </w:r>
      <w:proofErr w:type="spellEnd"/>
      <w:r w:rsidRPr="0049032D">
        <w:rPr>
          <w:bCs/>
          <w:color w:val="auto"/>
          <w:lang w:val="ru-RU"/>
        </w:rPr>
        <w:t xml:space="preserve"> по методике, описанной в разделе В.2.1 или методом ПЦР.</w:t>
      </w:r>
    </w:p>
    <w:p w14:paraId="45F9491D" w14:textId="77777777" w:rsidR="0049032D" w:rsidRDefault="0049032D" w:rsidP="0049032D">
      <w:pPr>
        <w:spacing w:after="0" w:line="240" w:lineRule="auto"/>
        <w:ind w:left="0" w:right="0" w:firstLine="567"/>
        <w:rPr>
          <w:bCs/>
          <w:color w:val="auto"/>
          <w:lang w:val="ru-RU"/>
        </w:rPr>
      </w:pPr>
      <w:r w:rsidRPr="0049032D">
        <w:rPr>
          <w:bCs/>
          <w:color w:val="auto"/>
          <w:lang w:val="ru-RU"/>
        </w:rPr>
        <w:t xml:space="preserve">Выделение SHV-1 позволяет подтвердить болезнь </w:t>
      </w:r>
      <w:proofErr w:type="spellStart"/>
      <w:r w:rsidRPr="0049032D">
        <w:rPr>
          <w:bCs/>
          <w:color w:val="auto"/>
          <w:lang w:val="ru-RU"/>
        </w:rPr>
        <w:t>Ауески</w:t>
      </w:r>
      <w:proofErr w:type="spellEnd"/>
      <w:r w:rsidRPr="0049032D">
        <w:rPr>
          <w:bCs/>
          <w:color w:val="auto"/>
          <w:lang w:val="ru-RU"/>
        </w:rPr>
        <w:t>, но отсутствие выделения не гарантирует отсутствия инфекции.</w:t>
      </w:r>
    </w:p>
    <w:p w14:paraId="0776B5F4" w14:textId="77777777" w:rsidR="00361530" w:rsidRDefault="00361530" w:rsidP="0049032D">
      <w:pPr>
        <w:spacing w:after="0" w:line="240" w:lineRule="auto"/>
        <w:ind w:left="0" w:right="0" w:firstLine="567"/>
        <w:rPr>
          <w:bCs/>
          <w:color w:val="auto"/>
          <w:lang w:val="ru-RU"/>
        </w:rPr>
      </w:pPr>
    </w:p>
    <w:p w14:paraId="702F1200" w14:textId="77777777" w:rsidR="00361530" w:rsidRPr="00361530" w:rsidRDefault="00361530" w:rsidP="00361530">
      <w:pPr>
        <w:spacing w:after="0" w:line="240" w:lineRule="auto"/>
        <w:ind w:left="0" w:right="0" w:firstLine="567"/>
        <w:rPr>
          <w:b/>
          <w:color w:val="auto"/>
          <w:lang w:val="ru-RU"/>
        </w:rPr>
      </w:pPr>
      <w:r w:rsidRPr="00361530">
        <w:rPr>
          <w:b/>
          <w:color w:val="auto"/>
          <w:lang w:val="ru-RU"/>
        </w:rPr>
        <w:t>2.2 Идентификация вируса при помощи полимеразной цепной реакции</w:t>
      </w:r>
    </w:p>
    <w:p w14:paraId="58D28B53" w14:textId="77777777" w:rsidR="00361530" w:rsidRPr="00361530" w:rsidRDefault="00361530" w:rsidP="00361530">
      <w:pPr>
        <w:spacing w:after="0" w:line="240" w:lineRule="auto"/>
        <w:ind w:left="0" w:right="0" w:firstLine="567"/>
        <w:rPr>
          <w:bCs/>
          <w:color w:val="auto"/>
          <w:lang w:val="ru-RU"/>
        </w:rPr>
      </w:pPr>
    </w:p>
    <w:p w14:paraId="2037DCC6" w14:textId="77777777" w:rsidR="00361530" w:rsidRPr="00361530" w:rsidRDefault="00361530" w:rsidP="00361530">
      <w:pPr>
        <w:spacing w:after="0" w:line="240" w:lineRule="auto"/>
        <w:ind w:left="0" w:right="0" w:firstLine="567"/>
        <w:rPr>
          <w:bCs/>
          <w:color w:val="auto"/>
          <w:lang w:val="ru-RU"/>
        </w:rPr>
      </w:pPr>
      <w:r w:rsidRPr="00361530">
        <w:rPr>
          <w:bCs/>
          <w:color w:val="auto"/>
          <w:lang w:val="ru-RU"/>
        </w:rPr>
        <w:t>ПЦР можно использовать для идентификации геномов SHV-1 в выделениях или образцах органов. Многие отдельные лаборатории разработали эффективные протоколы, но стандартизированного подхода, согласованного на международном уровне, пока нет.</w:t>
      </w:r>
    </w:p>
    <w:p w14:paraId="1A1D67CE" w14:textId="77777777" w:rsidR="00361530" w:rsidRPr="00361530" w:rsidRDefault="00361530" w:rsidP="00361530">
      <w:pPr>
        <w:spacing w:after="0" w:line="240" w:lineRule="auto"/>
        <w:ind w:left="0" w:right="0" w:firstLine="567"/>
        <w:rPr>
          <w:bCs/>
          <w:color w:val="auto"/>
          <w:lang w:val="ru-RU"/>
        </w:rPr>
      </w:pPr>
      <w:r w:rsidRPr="00361530">
        <w:rPr>
          <w:bCs/>
          <w:color w:val="auto"/>
          <w:lang w:val="ru-RU"/>
        </w:rPr>
        <w:t xml:space="preserve">ПЦР основана на селективной амплификации определенной части генома с использованием двух </w:t>
      </w:r>
      <w:proofErr w:type="spellStart"/>
      <w:r w:rsidRPr="00361530">
        <w:rPr>
          <w:bCs/>
          <w:color w:val="auto"/>
          <w:lang w:val="ru-RU"/>
        </w:rPr>
        <w:t>праймеров</w:t>
      </w:r>
      <w:proofErr w:type="spellEnd"/>
      <w:r w:rsidRPr="00361530">
        <w:rPr>
          <w:bCs/>
          <w:color w:val="auto"/>
          <w:lang w:val="ru-RU"/>
        </w:rPr>
        <w:t xml:space="preserve">, расположенных на каждом конце выбранной последовательности. На первом этапе полная ДНК может быть выделена с использованием стандартных процедур (например, расщепления </w:t>
      </w:r>
      <w:proofErr w:type="spellStart"/>
      <w:r w:rsidRPr="00361530">
        <w:rPr>
          <w:bCs/>
          <w:color w:val="auto"/>
          <w:lang w:val="ru-RU"/>
        </w:rPr>
        <w:t>протеиназой</w:t>
      </w:r>
      <w:proofErr w:type="spellEnd"/>
      <w:r w:rsidRPr="00361530">
        <w:rPr>
          <w:bCs/>
          <w:color w:val="auto"/>
          <w:lang w:val="ru-RU"/>
        </w:rPr>
        <w:t xml:space="preserve"> К и экстракцией фенол-</w:t>
      </w:r>
      <w:r w:rsidRPr="00361530">
        <w:rPr>
          <w:bCs/>
          <w:color w:val="auto"/>
          <w:lang w:val="ru-RU"/>
        </w:rPr>
        <w:lastRenderedPageBreak/>
        <w:t xml:space="preserve">хлороформ) или имеющихся в продаже наборов для выделения ДНК. Используя циклы денатурации ДНК для получения одноцепочечных ДНК-матриц, гибридизации </w:t>
      </w:r>
      <w:proofErr w:type="spellStart"/>
      <w:r w:rsidRPr="00361530">
        <w:rPr>
          <w:bCs/>
          <w:color w:val="auto"/>
          <w:lang w:val="ru-RU"/>
        </w:rPr>
        <w:t>праймеров</w:t>
      </w:r>
      <w:proofErr w:type="spellEnd"/>
      <w:r w:rsidRPr="00361530">
        <w:rPr>
          <w:bCs/>
          <w:color w:val="auto"/>
          <w:lang w:val="ru-RU"/>
        </w:rPr>
        <w:t xml:space="preserve"> и синтеза комплементарных последовательностей с использованием термостабильной ДНК-полимеразы, целевая последовательность может быть </w:t>
      </w:r>
      <w:proofErr w:type="spellStart"/>
      <w:r w:rsidRPr="00361530">
        <w:rPr>
          <w:bCs/>
          <w:color w:val="auto"/>
          <w:lang w:val="ru-RU"/>
        </w:rPr>
        <w:t>амплифицирована</w:t>
      </w:r>
      <w:proofErr w:type="spellEnd"/>
      <w:r w:rsidRPr="00361530">
        <w:rPr>
          <w:bCs/>
          <w:color w:val="auto"/>
          <w:lang w:val="ru-RU"/>
        </w:rPr>
        <w:t xml:space="preserve"> до 106 раз. </w:t>
      </w:r>
      <w:proofErr w:type="spellStart"/>
      <w:r w:rsidRPr="00361530">
        <w:rPr>
          <w:bCs/>
          <w:color w:val="auto"/>
          <w:lang w:val="ru-RU"/>
        </w:rPr>
        <w:t>Праймеры</w:t>
      </w:r>
      <w:proofErr w:type="spellEnd"/>
      <w:r w:rsidRPr="00361530">
        <w:rPr>
          <w:bCs/>
          <w:color w:val="auto"/>
          <w:lang w:val="ru-RU"/>
        </w:rPr>
        <w:t xml:space="preserve"> должны быть разработаны для амплификации последовательности, консервативной среди штаммов SHV-1, например, использовались части генов </w:t>
      </w:r>
      <w:proofErr w:type="spellStart"/>
      <w:r w:rsidRPr="00361530">
        <w:rPr>
          <w:bCs/>
          <w:color w:val="auto"/>
          <w:lang w:val="ru-RU"/>
        </w:rPr>
        <w:t>gB</w:t>
      </w:r>
      <w:proofErr w:type="spellEnd"/>
      <w:r w:rsidRPr="00361530">
        <w:rPr>
          <w:bCs/>
          <w:color w:val="auto"/>
          <w:lang w:val="ru-RU"/>
        </w:rPr>
        <w:t xml:space="preserve"> или </w:t>
      </w:r>
      <w:proofErr w:type="spellStart"/>
      <w:r w:rsidRPr="00361530">
        <w:rPr>
          <w:bCs/>
          <w:color w:val="auto"/>
          <w:lang w:val="ru-RU"/>
        </w:rPr>
        <w:t>gD</w:t>
      </w:r>
      <w:proofErr w:type="spellEnd"/>
      <w:r w:rsidRPr="00361530">
        <w:rPr>
          <w:bCs/>
          <w:color w:val="auto"/>
          <w:lang w:val="ru-RU"/>
        </w:rPr>
        <w:t>, которые кодируют основные гликопротеины (</w:t>
      </w:r>
      <w:proofErr w:type="spellStart"/>
      <w:r w:rsidRPr="00361530">
        <w:rPr>
          <w:bCs/>
          <w:color w:val="auto"/>
          <w:lang w:val="ru-RU"/>
        </w:rPr>
        <w:t>Менгелинг</w:t>
      </w:r>
      <w:proofErr w:type="spellEnd"/>
      <w:r w:rsidRPr="00361530">
        <w:rPr>
          <w:bCs/>
          <w:color w:val="auto"/>
          <w:lang w:val="ru-RU"/>
        </w:rPr>
        <w:t xml:space="preserve"> и др., 1992; Ван </w:t>
      </w:r>
      <w:proofErr w:type="spellStart"/>
      <w:r w:rsidRPr="00361530">
        <w:rPr>
          <w:bCs/>
          <w:color w:val="auto"/>
          <w:lang w:val="ru-RU"/>
        </w:rPr>
        <w:t>Рийн</w:t>
      </w:r>
      <w:proofErr w:type="spellEnd"/>
      <w:r w:rsidRPr="00361530">
        <w:rPr>
          <w:bCs/>
          <w:color w:val="auto"/>
          <w:lang w:val="ru-RU"/>
        </w:rPr>
        <w:t xml:space="preserve"> и др., 2004 г.; Юн и др., 2006 г.). Были разработаны ПЦР в реальном времени, которые могут дифференцировать вакцинные вирусы с удалением </w:t>
      </w:r>
      <w:proofErr w:type="spellStart"/>
      <w:r w:rsidRPr="00361530">
        <w:rPr>
          <w:bCs/>
          <w:color w:val="auto"/>
          <w:lang w:val="ru-RU"/>
        </w:rPr>
        <w:t>gE</w:t>
      </w:r>
      <w:proofErr w:type="spellEnd"/>
      <w:r w:rsidRPr="00361530">
        <w:rPr>
          <w:bCs/>
          <w:color w:val="auto"/>
          <w:lang w:val="ru-RU"/>
        </w:rPr>
        <w:t xml:space="preserve"> от вируса дикого типа на основе специфического обнаружения генов </w:t>
      </w:r>
      <w:proofErr w:type="spellStart"/>
      <w:r w:rsidRPr="00361530">
        <w:rPr>
          <w:bCs/>
          <w:color w:val="auto"/>
          <w:lang w:val="ru-RU"/>
        </w:rPr>
        <w:t>gB</w:t>
      </w:r>
      <w:proofErr w:type="spellEnd"/>
      <w:r w:rsidRPr="00361530">
        <w:rPr>
          <w:bCs/>
          <w:color w:val="auto"/>
          <w:lang w:val="ru-RU"/>
        </w:rPr>
        <w:t xml:space="preserve"> и </w:t>
      </w:r>
      <w:proofErr w:type="spellStart"/>
      <w:r w:rsidRPr="00361530">
        <w:rPr>
          <w:bCs/>
          <w:color w:val="auto"/>
          <w:lang w:val="ru-RU"/>
        </w:rPr>
        <w:t>gE</w:t>
      </w:r>
      <w:proofErr w:type="spellEnd"/>
      <w:r w:rsidRPr="00361530">
        <w:rPr>
          <w:bCs/>
          <w:color w:val="auto"/>
          <w:lang w:val="ru-RU"/>
        </w:rPr>
        <w:t xml:space="preserve"> (</w:t>
      </w:r>
      <w:proofErr w:type="spellStart"/>
      <w:r w:rsidRPr="00361530">
        <w:rPr>
          <w:bCs/>
          <w:color w:val="auto"/>
          <w:lang w:val="ru-RU"/>
        </w:rPr>
        <w:t>Ma</w:t>
      </w:r>
      <w:proofErr w:type="spellEnd"/>
      <w:r w:rsidRPr="00361530">
        <w:rPr>
          <w:bCs/>
          <w:color w:val="auto"/>
          <w:lang w:val="ru-RU"/>
        </w:rPr>
        <w:t xml:space="preserve"> и др., 2008 г.; </w:t>
      </w:r>
      <w:proofErr w:type="spellStart"/>
      <w:r w:rsidRPr="00361530">
        <w:rPr>
          <w:bCs/>
          <w:color w:val="auto"/>
          <w:lang w:val="ru-RU"/>
        </w:rPr>
        <w:t>Вернайк</w:t>
      </w:r>
      <w:proofErr w:type="spellEnd"/>
      <w:r w:rsidRPr="00361530">
        <w:rPr>
          <w:bCs/>
          <w:color w:val="auto"/>
          <w:lang w:val="ru-RU"/>
        </w:rPr>
        <w:t xml:space="preserve"> и др., 2014 г.).</w:t>
      </w:r>
    </w:p>
    <w:p w14:paraId="75241570" w14:textId="77777777" w:rsidR="00361530" w:rsidRPr="00361530" w:rsidRDefault="00361530" w:rsidP="00361530">
      <w:pPr>
        <w:spacing w:after="0" w:line="240" w:lineRule="auto"/>
        <w:ind w:left="0" w:right="0" w:firstLine="567"/>
        <w:rPr>
          <w:bCs/>
          <w:color w:val="auto"/>
          <w:lang w:val="ru-RU"/>
        </w:rPr>
      </w:pPr>
      <w:proofErr w:type="spellStart"/>
      <w:r w:rsidRPr="00361530">
        <w:rPr>
          <w:bCs/>
          <w:color w:val="auto"/>
          <w:lang w:val="ru-RU"/>
        </w:rPr>
        <w:t>Амплифицированный</w:t>
      </w:r>
      <w:proofErr w:type="spellEnd"/>
      <w:r w:rsidRPr="00361530">
        <w:rPr>
          <w:bCs/>
          <w:color w:val="auto"/>
          <w:lang w:val="ru-RU"/>
        </w:rPr>
        <w:t xml:space="preserve"> продукт можно идентифицировать по его молекулярной массе, определенной миграцией в </w:t>
      </w:r>
      <w:proofErr w:type="spellStart"/>
      <w:r w:rsidRPr="00361530">
        <w:rPr>
          <w:bCs/>
          <w:color w:val="auto"/>
          <w:lang w:val="ru-RU"/>
        </w:rPr>
        <w:t>агарозном</w:t>
      </w:r>
      <w:proofErr w:type="spellEnd"/>
      <w:r w:rsidRPr="00361530">
        <w:rPr>
          <w:bCs/>
          <w:color w:val="auto"/>
          <w:lang w:val="ru-RU"/>
        </w:rPr>
        <w:t xml:space="preserve"> геле, с дальнейшим подтверждением, где это возможно, секвенированием </w:t>
      </w:r>
      <w:proofErr w:type="spellStart"/>
      <w:r w:rsidRPr="00361530">
        <w:rPr>
          <w:bCs/>
          <w:color w:val="auto"/>
          <w:lang w:val="ru-RU"/>
        </w:rPr>
        <w:t>амплифицированного</w:t>
      </w:r>
      <w:proofErr w:type="spellEnd"/>
      <w:r w:rsidRPr="00361530">
        <w:rPr>
          <w:bCs/>
          <w:color w:val="auto"/>
          <w:lang w:val="ru-RU"/>
        </w:rPr>
        <w:t xml:space="preserve"> продукта. Более современные методы включают использование флуоресцентных зондов, связанных с действием </w:t>
      </w:r>
      <w:proofErr w:type="spellStart"/>
      <w:r w:rsidRPr="00361530">
        <w:rPr>
          <w:bCs/>
          <w:color w:val="auto"/>
          <w:lang w:val="ru-RU"/>
        </w:rPr>
        <w:t>экзонуклеазы</w:t>
      </w:r>
      <w:proofErr w:type="spellEnd"/>
      <w:r w:rsidRPr="00361530">
        <w:rPr>
          <w:bCs/>
          <w:color w:val="auto"/>
          <w:lang w:val="ru-RU"/>
        </w:rPr>
        <w:t xml:space="preserve">, и мониторинг эволюции продукта в режиме реального времени, что позволяет одновременно </w:t>
      </w:r>
      <w:proofErr w:type="spellStart"/>
      <w:r w:rsidRPr="00361530">
        <w:rPr>
          <w:bCs/>
          <w:color w:val="auto"/>
          <w:lang w:val="ru-RU"/>
        </w:rPr>
        <w:t>амплифицировать</w:t>
      </w:r>
      <w:proofErr w:type="spellEnd"/>
      <w:r w:rsidRPr="00361530">
        <w:rPr>
          <w:bCs/>
          <w:color w:val="auto"/>
          <w:lang w:val="ru-RU"/>
        </w:rPr>
        <w:t xml:space="preserve"> и подтверждать ДНК-матрицу, тем самым повышая скорость и специфичность ПЦР-анализа.</w:t>
      </w:r>
    </w:p>
    <w:p w14:paraId="04574E18" w14:textId="77777777" w:rsidR="00361530" w:rsidRDefault="00361530" w:rsidP="00361530">
      <w:pPr>
        <w:spacing w:after="0" w:line="240" w:lineRule="auto"/>
        <w:ind w:left="0" w:right="0" w:firstLine="567"/>
        <w:rPr>
          <w:bCs/>
          <w:color w:val="auto"/>
          <w:lang w:val="ru-RU"/>
        </w:rPr>
      </w:pPr>
      <w:r w:rsidRPr="00361530">
        <w:rPr>
          <w:bCs/>
          <w:color w:val="auto"/>
          <w:lang w:val="ru-RU"/>
        </w:rPr>
        <w:t>Во всех случаях основным преимуществом ПЦР по сравнению с обычными методами выделения вирусов является ее быстрота; с самым современным оборудованием весь процесс идентификации и подтверждения может быть завершен в течение одного дня. Однако из-за характера испытания необходимо принять множество мер предосторожности, чтобы избежать загрязнения образцов посторонней ДНК из предыдущих испытаний или общего загрязнения окружающей среды в лаборатории (см. Главу 1.1.9 Испытания на стерильность и отсутствие контаминации биологических материалов, предназначенных для ветеринарного применения). Это может ограничить ценность испытания для многих лабораторий, если не будут предприняты меры, чтобы избежать загрязнения переносом ДНК. Рекомендуется использовать внутренний контроль, чтобы не допустить ложноотрицательных результатов, обеспечив надлежащую эффективность выделения ДНК и подтвердив отсутствие ингибиторов ПЦР в каждом образце. На практике для обнаружения эндогенных или экзогенных генов можно использовать разные системы (Хоффман и др., 2009 г.). Наборы для испытания имеются в продаже (Пол и др., 2013 г.).</w:t>
      </w:r>
    </w:p>
    <w:p w14:paraId="245BB17B" w14:textId="77777777" w:rsidR="000628A1" w:rsidRDefault="000628A1" w:rsidP="000628A1">
      <w:pPr>
        <w:spacing w:after="0" w:line="240" w:lineRule="auto"/>
        <w:ind w:left="0" w:right="0" w:firstLine="567"/>
        <w:rPr>
          <w:bCs/>
          <w:color w:val="auto"/>
          <w:lang w:val="ru-RU"/>
        </w:rPr>
      </w:pPr>
    </w:p>
    <w:p w14:paraId="6CB48F73" w14:textId="77777777" w:rsidR="00361530" w:rsidRDefault="000628A1" w:rsidP="000628A1">
      <w:pPr>
        <w:spacing w:after="0" w:line="240" w:lineRule="auto"/>
        <w:ind w:left="0" w:right="0" w:firstLine="567"/>
        <w:rPr>
          <w:b/>
          <w:color w:val="auto"/>
          <w:lang w:val="ru-RU"/>
        </w:rPr>
      </w:pPr>
      <w:r w:rsidRPr="000628A1">
        <w:rPr>
          <w:b/>
          <w:color w:val="auto"/>
          <w:lang w:val="ru-RU"/>
        </w:rPr>
        <w:t>3</w:t>
      </w:r>
      <w:r w:rsidR="00361530" w:rsidRPr="000628A1">
        <w:rPr>
          <w:b/>
          <w:color w:val="auto"/>
          <w:lang w:val="ru-RU"/>
        </w:rPr>
        <w:t xml:space="preserve"> Серологические испытания</w:t>
      </w:r>
    </w:p>
    <w:p w14:paraId="65F031D3" w14:textId="77777777" w:rsidR="000628A1" w:rsidRPr="000628A1" w:rsidRDefault="000628A1" w:rsidP="000628A1">
      <w:pPr>
        <w:spacing w:after="0" w:line="240" w:lineRule="auto"/>
        <w:ind w:left="0" w:right="0" w:firstLine="567"/>
        <w:rPr>
          <w:b/>
          <w:color w:val="auto"/>
          <w:lang w:val="ru-RU"/>
        </w:rPr>
      </w:pPr>
    </w:p>
    <w:p w14:paraId="4AB46004"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Нейтрализация вируса (НВ) была признана эталонным методом серологии (</w:t>
      </w:r>
      <w:proofErr w:type="spellStart"/>
      <w:r w:rsidRPr="00361530">
        <w:rPr>
          <w:bCs/>
          <w:color w:val="auto"/>
          <w:lang w:val="ru-RU"/>
        </w:rPr>
        <w:t>Менинг</w:t>
      </w:r>
      <w:proofErr w:type="spellEnd"/>
      <w:r w:rsidRPr="00361530">
        <w:rPr>
          <w:bCs/>
          <w:color w:val="auto"/>
          <w:lang w:val="ru-RU"/>
        </w:rPr>
        <w:t xml:space="preserve"> и др., 1982 г.), но для общих диагностических целей она была широко заменена твердофазным иммуноферментным анализом (ИФА) из-за его пригодности для крупномасштабных исследований. (</w:t>
      </w:r>
      <w:proofErr w:type="spellStart"/>
      <w:r w:rsidRPr="00361530">
        <w:rPr>
          <w:bCs/>
          <w:color w:val="auto"/>
          <w:lang w:val="ru-RU"/>
        </w:rPr>
        <w:t>Менинг</w:t>
      </w:r>
      <w:proofErr w:type="spellEnd"/>
      <w:r w:rsidRPr="00361530">
        <w:rPr>
          <w:bCs/>
          <w:color w:val="auto"/>
          <w:lang w:val="ru-RU"/>
        </w:rPr>
        <w:t xml:space="preserve"> и др., 1982 г.). Испытания можно проводить на различных матрицах (например, сыворотке, цельной крови, молоке, мышечном экссудате и фильтровальной бумаге), но предпочтительной матрицей является сыворотка.</w:t>
      </w:r>
    </w:p>
    <w:p w14:paraId="04D456AB"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Также было разработано испытание латексной агглютинации, которое можно использовать для скрининга антител. Наборы для испытания имеются в продаже (</w:t>
      </w:r>
      <w:proofErr w:type="spellStart"/>
      <w:r w:rsidRPr="00361530">
        <w:rPr>
          <w:bCs/>
          <w:color w:val="auto"/>
          <w:lang w:val="ru-RU"/>
        </w:rPr>
        <w:t>Шоэнбаум</w:t>
      </w:r>
      <w:proofErr w:type="spellEnd"/>
      <w:r w:rsidRPr="00361530">
        <w:rPr>
          <w:bCs/>
          <w:color w:val="auto"/>
          <w:lang w:val="ru-RU"/>
        </w:rPr>
        <w:t xml:space="preserve"> и др., 1990 г.).</w:t>
      </w:r>
    </w:p>
    <w:p w14:paraId="610D9019"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 xml:space="preserve">Серологические исследования проводятся только для свиней, так как другие животные (травоядные и плотоядные) слишком быстро погибают, чтобы выработать антитела. На свободных территориях, где свиней не вакцинируют, можно проводить активное эпидемиологическое обследование с использованием ИФА </w:t>
      </w:r>
      <w:proofErr w:type="spellStart"/>
      <w:r w:rsidRPr="00361530">
        <w:rPr>
          <w:bCs/>
          <w:color w:val="auto"/>
          <w:lang w:val="ru-RU"/>
        </w:rPr>
        <w:t>gB</w:t>
      </w:r>
      <w:proofErr w:type="spellEnd"/>
      <w:r w:rsidRPr="00361530">
        <w:rPr>
          <w:bCs/>
          <w:color w:val="auto"/>
          <w:lang w:val="ru-RU"/>
        </w:rPr>
        <w:t xml:space="preserve"> или </w:t>
      </w:r>
      <w:proofErr w:type="spellStart"/>
      <w:r w:rsidRPr="00361530">
        <w:rPr>
          <w:bCs/>
          <w:color w:val="auto"/>
          <w:lang w:val="ru-RU"/>
        </w:rPr>
        <w:t>gE</w:t>
      </w:r>
      <w:proofErr w:type="spellEnd"/>
      <w:r w:rsidRPr="00361530">
        <w:rPr>
          <w:bCs/>
          <w:color w:val="auto"/>
          <w:lang w:val="ru-RU"/>
        </w:rPr>
        <w:t xml:space="preserve"> или наборов для латекс-агглютинации. Поскольку антитела можно обнаружить между 7 и 10 днями после заражения, настоящие серологические инструменты также можно использовать для подтверждения инфекции у свиней в случае подозрения на вспышку. В районах, где свиней </w:t>
      </w:r>
      <w:r w:rsidRPr="00361530">
        <w:rPr>
          <w:bCs/>
          <w:color w:val="auto"/>
          <w:lang w:val="ru-RU"/>
        </w:rPr>
        <w:lastRenderedPageBreak/>
        <w:t xml:space="preserve">вакцинируют </w:t>
      </w:r>
      <w:proofErr w:type="spellStart"/>
      <w:r w:rsidRPr="00361530">
        <w:rPr>
          <w:bCs/>
          <w:color w:val="auto"/>
          <w:lang w:val="ru-RU"/>
        </w:rPr>
        <w:t>gE</w:t>
      </w:r>
      <w:proofErr w:type="spellEnd"/>
      <w:r w:rsidRPr="00361530">
        <w:rPr>
          <w:bCs/>
          <w:color w:val="auto"/>
          <w:lang w:val="ru-RU"/>
        </w:rPr>
        <w:t xml:space="preserve">-удаленными вакцинами, наборы ИФА </w:t>
      </w:r>
      <w:proofErr w:type="spellStart"/>
      <w:r w:rsidRPr="00361530">
        <w:rPr>
          <w:bCs/>
          <w:color w:val="auto"/>
          <w:lang w:val="ru-RU"/>
        </w:rPr>
        <w:t>gE</w:t>
      </w:r>
      <w:proofErr w:type="spellEnd"/>
      <w:r w:rsidRPr="00361530">
        <w:rPr>
          <w:bCs/>
          <w:color w:val="auto"/>
          <w:lang w:val="ru-RU"/>
        </w:rPr>
        <w:t xml:space="preserve"> позволяют дифференцировать инфицированных и вакцинированных свиней (DIVA дифференциация инфицированных и вакцинированных животных), но для оценки уровня иммунитета, вызванного вакцинацией, следует использовать </w:t>
      </w:r>
      <w:proofErr w:type="spellStart"/>
      <w:r w:rsidRPr="00361530">
        <w:rPr>
          <w:bCs/>
          <w:color w:val="auto"/>
          <w:lang w:val="ru-RU"/>
        </w:rPr>
        <w:t>gB</w:t>
      </w:r>
      <w:proofErr w:type="spellEnd"/>
      <w:r w:rsidRPr="00361530">
        <w:rPr>
          <w:bCs/>
          <w:color w:val="auto"/>
          <w:lang w:val="ru-RU"/>
        </w:rPr>
        <w:t xml:space="preserve"> ИФА, наборы для латекс-агглютинации или вирусной нейтрализации. </w:t>
      </w:r>
    </w:p>
    <w:p w14:paraId="605DEED7"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 xml:space="preserve">Любая используемая серологическая методика должна быть достаточно чувствительной, чтобы давать положительный результат при использовании международной стандартной эталонной сыворотки МЭБ или откалиброванной вторичной сыворотки. Эталонную сыворотку можно получить в Справочной лаборатории МЭБ по болезни </w:t>
      </w:r>
      <w:proofErr w:type="spellStart"/>
      <w:r w:rsidRPr="00361530">
        <w:rPr>
          <w:bCs/>
          <w:color w:val="auto"/>
          <w:lang w:val="ru-RU"/>
        </w:rPr>
        <w:t>Ауески</w:t>
      </w:r>
      <w:proofErr w:type="spellEnd"/>
      <w:r w:rsidRPr="00361530">
        <w:rPr>
          <w:bCs/>
          <w:color w:val="auto"/>
          <w:lang w:val="ru-RU"/>
        </w:rPr>
        <w:t xml:space="preserve"> во Франции (см. таблицу в Части 4 настоящего руководства по наземным животным). Для целей международной торговли испытание должно быть достаточно чувствительным, чтобы обнаруживать стандартную сыворотку, разбавленную 1/2. Чтобы разрешить перемещение свиней из зоны, где используются вакцины с удаленными </w:t>
      </w:r>
      <w:proofErr w:type="spellStart"/>
      <w:r w:rsidRPr="00361530">
        <w:rPr>
          <w:bCs/>
          <w:color w:val="auto"/>
          <w:lang w:val="ru-RU"/>
        </w:rPr>
        <w:t>gE</w:t>
      </w:r>
      <w:proofErr w:type="spellEnd"/>
      <w:r w:rsidRPr="00361530">
        <w:rPr>
          <w:bCs/>
          <w:color w:val="auto"/>
          <w:lang w:val="ru-RU"/>
        </w:rPr>
        <w:t xml:space="preserve">, в свободную зону, серологические анализы должны быть в состоянии обнаружить, по меньшей мере, разведение 1/8 для ИФА </w:t>
      </w:r>
      <w:proofErr w:type="spellStart"/>
      <w:r w:rsidRPr="00361530">
        <w:rPr>
          <w:bCs/>
          <w:color w:val="auto"/>
          <w:lang w:val="ru-RU"/>
        </w:rPr>
        <w:t>gE</w:t>
      </w:r>
      <w:proofErr w:type="spellEnd"/>
      <w:r w:rsidRPr="00361530">
        <w:rPr>
          <w:bCs/>
          <w:color w:val="auto"/>
          <w:lang w:val="ru-RU"/>
        </w:rPr>
        <w:t xml:space="preserve"> Международной стандартной эталонной сыворотки МЭБ, что предписано Европейской комиссией ( 2008).</w:t>
      </w:r>
    </w:p>
    <w:p w14:paraId="0EA08D31" w14:textId="77777777" w:rsidR="00361530" w:rsidRPr="00361530" w:rsidRDefault="00361530" w:rsidP="000628A1">
      <w:pPr>
        <w:spacing w:after="0" w:line="240" w:lineRule="auto"/>
        <w:ind w:left="0" w:right="0" w:firstLine="567"/>
        <w:rPr>
          <w:bCs/>
          <w:color w:val="auto"/>
          <w:lang w:val="ru-RU"/>
        </w:rPr>
      </w:pPr>
    </w:p>
    <w:p w14:paraId="40555789" w14:textId="77777777" w:rsidR="00361530" w:rsidRPr="000628A1" w:rsidRDefault="000628A1" w:rsidP="000628A1">
      <w:pPr>
        <w:spacing w:after="0" w:line="240" w:lineRule="auto"/>
        <w:ind w:left="0" w:right="0" w:firstLine="567"/>
        <w:rPr>
          <w:b/>
          <w:color w:val="auto"/>
          <w:lang w:val="ru-RU"/>
        </w:rPr>
      </w:pPr>
      <w:r w:rsidRPr="000628A1">
        <w:rPr>
          <w:b/>
          <w:color w:val="auto"/>
          <w:lang w:val="ru-RU"/>
        </w:rPr>
        <w:t>3</w:t>
      </w:r>
      <w:r w:rsidR="00361530" w:rsidRPr="000628A1">
        <w:rPr>
          <w:b/>
          <w:color w:val="auto"/>
          <w:lang w:val="ru-RU"/>
        </w:rPr>
        <w:t>.1 Нейтрализация вируса</w:t>
      </w:r>
    </w:p>
    <w:p w14:paraId="250BE83B" w14:textId="77777777" w:rsidR="000628A1" w:rsidRPr="00361530" w:rsidRDefault="000628A1" w:rsidP="000628A1">
      <w:pPr>
        <w:spacing w:after="0" w:line="240" w:lineRule="auto"/>
        <w:ind w:left="0" w:right="0" w:firstLine="567"/>
        <w:rPr>
          <w:bCs/>
          <w:color w:val="auto"/>
          <w:lang w:val="ru-RU"/>
        </w:rPr>
      </w:pPr>
    </w:p>
    <w:p w14:paraId="54D8E185"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НВ в клеточной культуре можно проводить несколькими способами, которые варьируются в зависимости от продолжительности инкубации смесей вирус/сыворотка (например, 1 час при температуре 37 °С или 24 часа при температуре 4 °С) и наличия или отсутствия комплемента. Большинство лабораторий используют период реакции 1 час при температуре 37 °C в отсутствие комплемента, потому что это легко и быстро. Однако чувствительность можно улучшить, увеличив инкубационный период до 24 часов при температуре 4 °С, что способствует обнаружению уровней антител в 10–15 раз ниже, чем при 1-часовом методе. Для целей международной торговли метод испытания должен быть утвержден как достаточно чувствительный для обнаружения стандартной эталонной сыворотки МЭБ, разбавленной 1/2.</w:t>
      </w:r>
    </w:p>
    <w:p w14:paraId="1F508D1A"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НВ нельзя использовать для дифференциации антител вакцинного происхождения от антител, вызванных естественной инфекцией. Это один из двух доступных испытаний, который соответствует требованиям главы Кодекса здоровья наземных животных МЭБ, когда речь идет о «диагностическом испытании на весь вирус».</w:t>
      </w:r>
    </w:p>
    <w:p w14:paraId="7041D37E" w14:textId="77777777" w:rsidR="00361530" w:rsidRPr="00361530" w:rsidRDefault="000628A1" w:rsidP="000628A1">
      <w:pPr>
        <w:spacing w:after="0" w:line="240" w:lineRule="auto"/>
        <w:ind w:left="0" w:right="0" w:firstLine="567"/>
        <w:rPr>
          <w:bCs/>
          <w:color w:val="auto"/>
          <w:lang w:val="ru-RU"/>
        </w:rPr>
      </w:pPr>
      <w:r w:rsidRPr="00361530">
        <w:rPr>
          <w:bCs/>
          <w:color w:val="auto"/>
          <w:lang w:val="ru-RU"/>
        </w:rPr>
        <w:t>I</w:t>
      </w:r>
      <w:r w:rsidR="00361530" w:rsidRPr="00361530">
        <w:rPr>
          <w:bCs/>
          <w:color w:val="auto"/>
          <w:lang w:val="ru-RU"/>
        </w:rPr>
        <w:t>) Клетки</w:t>
      </w:r>
    </w:p>
    <w:p w14:paraId="285B79B1"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Используются клетки, восприимчивые к заражению SHV-1; это могут быть клеточные линии (например, PK-15, SK6, MDBK) или первичные или вторичные клеточные культуры (например, свиная почка).</w:t>
      </w:r>
    </w:p>
    <w:p w14:paraId="58584AF3" w14:textId="77777777" w:rsidR="00361530" w:rsidRPr="00361530" w:rsidRDefault="000628A1" w:rsidP="000628A1">
      <w:pPr>
        <w:spacing w:after="0" w:line="240" w:lineRule="auto"/>
        <w:ind w:left="0" w:right="0" w:firstLine="567"/>
        <w:rPr>
          <w:bCs/>
          <w:color w:val="auto"/>
          <w:lang w:val="ru-RU"/>
        </w:rPr>
      </w:pPr>
      <w:r w:rsidRPr="00361530">
        <w:rPr>
          <w:bCs/>
          <w:color w:val="auto"/>
          <w:lang w:val="ru-RU"/>
        </w:rPr>
        <w:t>II</w:t>
      </w:r>
      <w:r w:rsidR="00361530" w:rsidRPr="00361530">
        <w:rPr>
          <w:bCs/>
          <w:color w:val="auto"/>
          <w:lang w:val="ru-RU"/>
        </w:rPr>
        <w:t>) Среда для культивирования клеток</w:t>
      </w:r>
    </w:p>
    <w:p w14:paraId="4E402956"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 xml:space="preserve">Среда зависит от типа клеток. Например, среда для клеток PK-15 представляет собой минимальную </w:t>
      </w:r>
      <w:proofErr w:type="spellStart"/>
      <w:r w:rsidRPr="00361530">
        <w:rPr>
          <w:bCs/>
          <w:color w:val="auto"/>
          <w:lang w:val="ru-RU"/>
        </w:rPr>
        <w:t>эссенциальную</w:t>
      </w:r>
      <w:proofErr w:type="spellEnd"/>
      <w:r w:rsidRPr="00361530">
        <w:rPr>
          <w:bCs/>
          <w:color w:val="auto"/>
          <w:lang w:val="ru-RU"/>
        </w:rPr>
        <w:t xml:space="preserve"> среду Игла (MEM) + 10% фетальной телячьей сыворотки и антибиотики (100 МЕ/мл пенициллина и 100 мкг/мл стрептомицина или, альтернативно, </w:t>
      </w:r>
      <w:r w:rsidR="005C4F78" w:rsidRPr="005C4F78">
        <w:rPr>
          <w:bCs/>
          <w:color w:val="auto"/>
          <w:lang w:val="ru-RU"/>
        </w:rPr>
        <w:t xml:space="preserve">    </w:t>
      </w:r>
      <w:r w:rsidRPr="00361530">
        <w:rPr>
          <w:bCs/>
          <w:color w:val="auto"/>
          <w:lang w:val="ru-RU"/>
        </w:rPr>
        <w:t>50 мкг/мл гентамицина).</w:t>
      </w:r>
    </w:p>
    <w:p w14:paraId="0E7EB903" w14:textId="77777777" w:rsidR="00361530" w:rsidRPr="00361530" w:rsidRDefault="000628A1" w:rsidP="000628A1">
      <w:pPr>
        <w:spacing w:after="0" w:line="240" w:lineRule="auto"/>
        <w:ind w:left="0" w:right="0" w:firstLine="567"/>
        <w:rPr>
          <w:bCs/>
          <w:color w:val="auto"/>
          <w:lang w:val="ru-RU"/>
        </w:rPr>
      </w:pPr>
      <w:r w:rsidRPr="00361530">
        <w:rPr>
          <w:bCs/>
          <w:color w:val="auto"/>
          <w:lang w:val="ru-RU"/>
        </w:rPr>
        <w:t>III</w:t>
      </w:r>
      <w:r w:rsidR="00361530" w:rsidRPr="00361530">
        <w:rPr>
          <w:bCs/>
          <w:color w:val="auto"/>
          <w:lang w:val="ru-RU"/>
        </w:rPr>
        <w:t>) Поддержание клеток</w:t>
      </w:r>
    </w:p>
    <w:p w14:paraId="2E8C69BA"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Клетки культивируют в сосудах для культивирования клеток площадью, например,</w:t>
      </w:r>
      <w:r w:rsidR="005C4F78" w:rsidRPr="005C4F78">
        <w:rPr>
          <w:bCs/>
          <w:color w:val="auto"/>
          <w:lang w:val="ru-RU"/>
        </w:rPr>
        <w:t xml:space="preserve">  </w:t>
      </w:r>
      <w:r w:rsidRPr="00361530">
        <w:rPr>
          <w:bCs/>
          <w:color w:val="auto"/>
          <w:lang w:val="ru-RU"/>
        </w:rPr>
        <w:t xml:space="preserve"> 75 см</w:t>
      </w:r>
      <w:r w:rsidRPr="000628A1">
        <w:rPr>
          <w:bCs/>
          <w:color w:val="auto"/>
          <w:vertAlign w:val="superscript"/>
          <w:lang w:val="ru-RU"/>
        </w:rPr>
        <w:t>2</w:t>
      </w:r>
      <w:r w:rsidRPr="00361530">
        <w:rPr>
          <w:bCs/>
          <w:color w:val="auto"/>
          <w:lang w:val="ru-RU"/>
        </w:rPr>
        <w:t xml:space="preserve">. Их следует </w:t>
      </w:r>
      <w:proofErr w:type="spellStart"/>
      <w:r w:rsidRPr="00361530">
        <w:rPr>
          <w:bCs/>
          <w:color w:val="auto"/>
          <w:lang w:val="ru-RU"/>
        </w:rPr>
        <w:t>трипсинизировать</w:t>
      </w:r>
      <w:proofErr w:type="spellEnd"/>
      <w:r w:rsidRPr="00361530">
        <w:rPr>
          <w:bCs/>
          <w:color w:val="auto"/>
          <w:lang w:val="ru-RU"/>
        </w:rPr>
        <w:t xml:space="preserve"> один или два раза в неделю. Для еженедельной </w:t>
      </w:r>
      <w:proofErr w:type="spellStart"/>
      <w:r w:rsidRPr="00361530">
        <w:rPr>
          <w:bCs/>
          <w:color w:val="auto"/>
          <w:lang w:val="ru-RU"/>
        </w:rPr>
        <w:t>трипсинизации</w:t>
      </w:r>
      <w:proofErr w:type="spellEnd"/>
      <w:r w:rsidRPr="00361530">
        <w:rPr>
          <w:bCs/>
          <w:color w:val="auto"/>
          <w:lang w:val="ru-RU"/>
        </w:rPr>
        <w:t xml:space="preserve"> клетки обычно культивируют в 50 мл среды с коэффициентом размножения 5. Для двух </w:t>
      </w:r>
      <w:proofErr w:type="spellStart"/>
      <w:r w:rsidRPr="00361530">
        <w:rPr>
          <w:bCs/>
          <w:color w:val="auto"/>
          <w:lang w:val="ru-RU"/>
        </w:rPr>
        <w:t>трипсинизаций</w:t>
      </w:r>
      <w:proofErr w:type="spellEnd"/>
      <w:r w:rsidRPr="00361530">
        <w:rPr>
          <w:bCs/>
          <w:color w:val="auto"/>
          <w:lang w:val="ru-RU"/>
        </w:rPr>
        <w:t xml:space="preserve"> в неделю клетки следует культивировать в 30 мл среды с коэффициентом размножения 3.</w:t>
      </w:r>
    </w:p>
    <w:p w14:paraId="5BC0E2E7"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 xml:space="preserve">Для </w:t>
      </w:r>
      <w:proofErr w:type="spellStart"/>
      <w:r w:rsidRPr="00361530">
        <w:rPr>
          <w:bCs/>
          <w:color w:val="auto"/>
          <w:lang w:val="ru-RU"/>
        </w:rPr>
        <w:t>трипсинизации</w:t>
      </w:r>
      <w:proofErr w:type="spellEnd"/>
      <w:r w:rsidRPr="00361530">
        <w:rPr>
          <w:bCs/>
          <w:color w:val="auto"/>
          <w:lang w:val="ru-RU"/>
        </w:rPr>
        <w:t xml:space="preserve"> среду для выращивания следует удалить после завершения формирования клеточного слоя. Пласт клеток промывать примерно 5 мл недавно </w:t>
      </w:r>
      <w:r w:rsidRPr="00361530">
        <w:rPr>
          <w:bCs/>
          <w:color w:val="auto"/>
          <w:lang w:val="ru-RU"/>
        </w:rPr>
        <w:lastRenderedPageBreak/>
        <w:t xml:space="preserve">размороженной смеси трипсин/этилендиаминтетрауксусная кислота (ЭДТА) (0,25%) в изотоническом буфере. Промывочную жидкость слить и снова промыть препарат, удерживая всего несколько капель трипсина. Контейнер поместить в инкубатор при температуре 37 °С на 5–10 минут до открепления клеток. После отделения пласта и хорошего разделения клеток для пассажа два раза в неделю их следует </w:t>
      </w:r>
      <w:proofErr w:type="spellStart"/>
      <w:r w:rsidRPr="00361530">
        <w:rPr>
          <w:bCs/>
          <w:color w:val="auto"/>
          <w:lang w:val="ru-RU"/>
        </w:rPr>
        <w:t>суспендировать</w:t>
      </w:r>
      <w:proofErr w:type="spellEnd"/>
      <w:r w:rsidRPr="00361530">
        <w:rPr>
          <w:bCs/>
          <w:color w:val="auto"/>
          <w:lang w:val="ru-RU"/>
        </w:rPr>
        <w:t xml:space="preserve"> в 90 мл питательной среды, и эту суспензию распределить по трем сосудам для культивирования клеток площадью 75 см</w:t>
      </w:r>
      <w:r w:rsidRPr="000628A1">
        <w:rPr>
          <w:bCs/>
          <w:color w:val="auto"/>
          <w:vertAlign w:val="superscript"/>
          <w:lang w:val="ru-RU"/>
        </w:rPr>
        <w:t>2</w:t>
      </w:r>
      <w:r w:rsidRPr="00361530">
        <w:rPr>
          <w:bCs/>
          <w:color w:val="auto"/>
          <w:lang w:val="ru-RU"/>
        </w:rPr>
        <w:t xml:space="preserve">. Для еженедельной обработки трипсином клетки </w:t>
      </w:r>
      <w:proofErr w:type="spellStart"/>
      <w:r w:rsidRPr="00361530">
        <w:rPr>
          <w:bCs/>
          <w:color w:val="auto"/>
          <w:lang w:val="ru-RU"/>
        </w:rPr>
        <w:t>суспендировать</w:t>
      </w:r>
      <w:proofErr w:type="spellEnd"/>
      <w:r w:rsidRPr="00361530">
        <w:rPr>
          <w:bCs/>
          <w:color w:val="auto"/>
          <w:lang w:val="ru-RU"/>
        </w:rPr>
        <w:t xml:space="preserve"> в 150 мл питательной среды и эту суспензию распределить по пяти флаконам для клеточных культур объемом 75 см</w:t>
      </w:r>
      <w:r w:rsidRPr="000628A1">
        <w:rPr>
          <w:bCs/>
          <w:color w:val="auto"/>
          <w:vertAlign w:val="superscript"/>
          <w:lang w:val="ru-RU"/>
        </w:rPr>
        <w:t>2</w:t>
      </w:r>
      <w:r w:rsidRPr="00361530">
        <w:rPr>
          <w:bCs/>
          <w:color w:val="auto"/>
          <w:lang w:val="ru-RU"/>
        </w:rPr>
        <w:t>.</w:t>
      </w:r>
    </w:p>
    <w:p w14:paraId="11CDAC0F" w14:textId="77777777" w:rsidR="00361530" w:rsidRPr="00361530" w:rsidRDefault="000628A1" w:rsidP="000628A1">
      <w:pPr>
        <w:spacing w:after="0" w:line="240" w:lineRule="auto"/>
        <w:ind w:left="0" w:right="0" w:firstLine="567"/>
        <w:rPr>
          <w:bCs/>
          <w:color w:val="auto"/>
          <w:lang w:val="ru-RU"/>
        </w:rPr>
      </w:pPr>
      <w:r w:rsidRPr="00361530">
        <w:rPr>
          <w:bCs/>
          <w:color w:val="auto"/>
          <w:lang w:val="ru-RU"/>
        </w:rPr>
        <w:t>IV</w:t>
      </w:r>
      <w:r w:rsidR="00361530" w:rsidRPr="00361530">
        <w:rPr>
          <w:bCs/>
          <w:color w:val="auto"/>
          <w:lang w:val="ru-RU"/>
        </w:rPr>
        <w:t>) Вирус</w:t>
      </w:r>
    </w:p>
    <w:p w14:paraId="1A4E83C2"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 xml:space="preserve">Подходящий штамм SHV-1, такой как штамм </w:t>
      </w:r>
      <w:proofErr w:type="spellStart"/>
      <w:r w:rsidRPr="00361530">
        <w:rPr>
          <w:bCs/>
          <w:color w:val="auto"/>
          <w:lang w:val="ru-RU"/>
        </w:rPr>
        <w:t>Kojnok</w:t>
      </w:r>
      <w:proofErr w:type="spellEnd"/>
      <w:r w:rsidRPr="00361530">
        <w:rPr>
          <w:bCs/>
          <w:color w:val="auto"/>
          <w:lang w:val="ru-RU"/>
        </w:rPr>
        <w:t xml:space="preserve"> или штамм NIA-3, хранить при температуре -65°C или ниже или в </w:t>
      </w:r>
      <w:proofErr w:type="spellStart"/>
      <w:r w:rsidRPr="00361530">
        <w:rPr>
          <w:bCs/>
          <w:color w:val="auto"/>
          <w:lang w:val="ru-RU"/>
        </w:rPr>
        <w:t>лиофилизированном</w:t>
      </w:r>
      <w:proofErr w:type="spellEnd"/>
      <w:r w:rsidRPr="00361530">
        <w:rPr>
          <w:bCs/>
          <w:color w:val="auto"/>
          <w:lang w:val="ru-RU"/>
        </w:rPr>
        <w:t xml:space="preserve"> виде при температуре 4°C.</w:t>
      </w:r>
    </w:p>
    <w:p w14:paraId="512167D1" w14:textId="77777777" w:rsidR="00361530" w:rsidRPr="00361530" w:rsidRDefault="000628A1" w:rsidP="000628A1">
      <w:pPr>
        <w:spacing w:after="0" w:line="240" w:lineRule="auto"/>
        <w:ind w:left="0" w:right="0" w:firstLine="567"/>
        <w:rPr>
          <w:bCs/>
          <w:color w:val="auto"/>
          <w:lang w:val="ru-RU"/>
        </w:rPr>
      </w:pPr>
      <w:r w:rsidRPr="00361530">
        <w:rPr>
          <w:bCs/>
          <w:color w:val="auto"/>
          <w:lang w:val="ru-RU"/>
        </w:rPr>
        <w:t xml:space="preserve">V) </w:t>
      </w:r>
      <w:r w:rsidR="00361530" w:rsidRPr="00361530">
        <w:rPr>
          <w:bCs/>
          <w:color w:val="auto"/>
          <w:lang w:val="ru-RU"/>
        </w:rPr>
        <w:t>Приготовление исходной вирусной суспензии</w:t>
      </w:r>
    </w:p>
    <w:p w14:paraId="09989B90" w14:textId="77777777" w:rsidR="00361530" w:rsidRPr="00361530" w:rsidRDefault="00361530" w:rsidP="000628A1">
      <w:pPr>
        <w:spacing w:after="0" w:line="240" w:lineRule="auto"/>
        <w:ind w:left="0" w:right="0" w:firstLine="567"/>
        <w:rPr>
          <w:bCs/>
          <w:color w:val="auto"/>
          <w:lang w:val="ru-RU"/>
        </w:rPr>
      </w:pPr>
      <w:proofErr w:type="spellStart"/>
      <w:r w:rsidRPr="00361530">
        <w:rPr>
          <w:bCs/>
          <w:color w:val="auto"/>
          <w:lang w:val="ru-RU"/>
        </w:rPr>
        <w:t>Культуральную</w:t>
      </w:r>
      <w:proofErr w:type="spellEnd"/>
      <w:r w:rsidRPr="00361530">
        <w:rPr>
          <w:bCs/>
          <w:color w:val="auto"/>
          <w:lang w:val="ru-RU"/>
        </w:rPr>
        <w:t xml:space="preserve"> жидкость удалить из сосуда для культивирования клеток, содержащего полный пласт клеток. Добавить около 1 мл исходной вирусной суспензии с известным титром (около 107 TCID50/мл [50% инфицирующая доза культуры ткани]) и сосуд инкубировать при температуре 37 °С ± 2 °С в течение 1 часа. Добавить 30 мл </w:t>
      </w:r>
      <w:proofErr w:type="spellStart"/>
      <w:r w:rsidRPr="00361530">
        <w:rPr>
          <w:bCs/>
          <w:color w:val="auto"/>
          <w:lang w:val="ru-RU"/>
        </w:rPr>
        <w:t>культуральной</w:t>
      </w:r>
      <w:proofErr w:type="spellEnd"/>
      <w:r w:rsidRPr="00361530">
        <w:rPr>
          <w:bCs/>
          <w:color w:val="auto"/>
          <w:lang w:val="ru-RU"/>
        </w:rPr>
        <w:t xml:space="preserve"> среды и сосуд снова инкубировать при температуре 37 °С ± 2 °С. Сосуд часто осматривать до тех пор, пока не будет разрушено около 75% клеток (примерно через 36–48 часов). Затем его заморозить при температуре –65 °C или ниже, чтобы разрушить клетки.</w:t>
      </w:r>
    </w:p>
    <w:p w14:paraId="3E94A699"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 xml:space="preserve">Затем сосуд оттаять и энергично встряхнуть. Среду собрать и центрифугировать при 1500 g в течение 15 минут. </w:t>
      </w:r>
      <w:proofErr w:type="spellStart"/>
      <w:r w:rsidRPr="00361530">
        <w:rPr>
          <w:bCs/>
          <w:color w:val="auto"/>
          <w:lang w:val="ru-RU"/>
        </w:rPr>
        <w:t>Надосадочную</w:t>
      </w:r>
      <w:proofErr w:type="spellEnd"/>
      <w:r w:rsidRPr="00361530">
        <w:rPr>
          <w:bCs/>
          <w:color w:val="auto"/>
          <w:lang w:val="ru-RU"/>
        </w:rPr>
        <w:t xml:space="preserve"> жидкость разделить на порции (около 0,5 мл) в небольшие пробирки с этикетками (дата и ссылка на вирус) перед хранением при температуре - 65°C или ниже до тех пор, пока они не потребуются.</w:t>
      </w:r>
    </w:p>
    <w:p w14:paraId="67C819C4" w14:textId="77777777" w:rsidR="00361530" w:rsidRPr="00361530" w:rsidRDefault="000628A1" w:rsidP="000628A1">
      <w:pPr>
        <w:spacing w:after="0" w:line="240" w:lineRule="auto"/>
        <w:ind w:left="0" w:right="0" w:firstLine="567"/>
        <w:rPr>
          <w:bCs/>
          <w:color w:val="auto"/>
          <w:lang w:val="ru-RU"/>
        </w:rPr>
      </w:pPr>
      <w:r w:rsidRPr="00361530">
        <w:rPr>
          <w:bCs/>
          <w:color w:val="auto"/>
          <w:lang w:val="ru-RU"/>
        </w:rPr>
        <w:t>VI</w:t>
      </w:r>
      <w:r w:rsidR="00361530" w:rsidRPr="00361530">
        <w:rPr>
          <w:bCs/>
          <w:color w:val="auto"/>
          <w:lang w:val="ru-RU"/>
        </w:rPr>
        <w:t>) Титрование исходной вирусной суспензии</w:t>
      </w:r>
    </w:p>
    <w:p w14:paraId="02915A69"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 xml:space="preserve">Титрование исходной суспензии проводят по методу Рид и </w:t>
      </w:r>
      <w:proofErr w:type="spellStart"/>
      <w:r w:rsidRPr="00361530">
        <w:rPr>
          <w:bCs/>
          <w:color w:val="auto"/>
          <w:lang w:val="ru-RU"/>
        </w:rPr>
        <w:t>Мюнх</w:t>
      </w:r>
      <w:proofErr w:type="spellEnd"/>
      <w:r w:rsidRPr="00361530">
        <w:rPr>
          <w:bCs/>
          <w:color w:val="auto"/>
          <w:lang w:val="ru-RU"/>
        </w:rPr>
        <w:t xml:space="preserve"> или Кербер, титр выражают на 50 </w:t>
      </w:r>
      <w:proofErr w:type="spellStart"/>
      <w:r w:rsidRPr="00361530">
        <w:rPr>
          <w:bCs/>
          <w:color w:val="auto"/>
          <w:lang w:val="ru-RU"/>
        </w:rPr>
        <w:t>мкл</w:t>
      </w:r>
      <w:proofErr w:type="spellEnd"/>
      <w:r w:rsidRPr="00361530">
        <w:rPr>
          <w:bCs/>
          <w:color w:val="auto"/>
          <w:lang w:val="ru-RU"/>
        </w:rPr>
        <w:t xml:space="preserve"> и на мл.</w:t>
      </w:r>
    </w:p>
    <w:p w14:paraId="1D461855"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 xml:space="preserve">Для испытания на нейтрализацию вируса требуется сыворотка внутреннего контроля качества с известным титром нейтрализующего антитела к SHV-1 (ее можно откалибровать по международному стандарту сыворотки или вторичному стандарту, приготовленному из этой сыворотки), а также нужна сыворотка отрицательного контроля (от свиньи без специфического антитела), например, из стада, официально благополучного по болезни </w:t>
      </w:r>
      <w:proofErr w:type="spellStart"/>
      <w:r w:rsidRPr="00361530">
        <w:rPr>
          <w:bCs/>
          <w:color w:val="auto"/>
          <w:lang w:val="ru-RU"/>
        </w:rPr>
        <w:t>Ауески</w:t>
      </w:r>
      <w:proofErr w:type="spellEnd"/>
      <w:r w:rsidRPr="00361530">
        <w:rPr>
          <w:bCs/>
          <w:color w:val="auto"/>
          <w:lang w:val="ru-RU"/>
        </w:rPr>
        <w:t>). Сами испытуемые сыворотки должны быть хорошего качества, иметь четкую маркировку, известного происхождения с историей болезни, постоянно храниться в холодильнике, не содержать грибков или бактерий, не подвергаться гемолизу и быть в достаточном количестве. Сыворотку следует отделять от коагулята без промедления, чтобы предотвратить токсичность.</w:t>
      </w:r>
    </w:p>
    <w:p w14:paraId="25203279"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Существуют качественные и количественные процедуры для НВ, их описание приведено ниже.</w:t>
      </w:r>
    </w:p>
    <w:p w14:paraId="5F3D2246" w14:textId="77777777" w:rsidR="00361530" w:rsidRPr="00361530" w:rsidRDefault="00361530" w:rsidP="000628A1">
      <w:pPr>
        <w:spacing w:after="0" w:line="240" w:lineRule="auto"/>
        <w:ind w:left="0" w:right="0" w:firstLine="567"/>
        <w:rPr>
          <w:bCs/>
          <w:color w:val="auto"/>
          <w:lang w:val="ru-RU"/>
        </w:rPr>
      </w:pPr>
    </w:p>
    <w:p w14:paraId="4758BADC" w14:textId="77777777" w:rsidR="00361530" w:rsidRPr="000628A1" w:rsidRDefault="000628A1" w:rsidP="000628A1">
      <w:pPr>
        <w:spacing w:after="0" w:line="240" w:lineRule="auto"/>
        <w:ind w:left="0" w:right="0" w:firstLine="567"/>
        <w:rPr>
          <w:b/>
          <w:color w:val="auto"/>
          <w:lang w:val="ru-RU"/>
        </w:rPr>
      </w:pPr>
      <w:r>
        <w:rPr>
          <w:b/>
          <w:color w:val="auto"/>
          <w:lang w:val="ru-RU"/>
        </w:rPr>
        <w:t>3</w:t>
      </w:r>
      <w:r w:rsidR="00361530" w:rsidRPr="000628A1">
        <w:rPr>
          <w:b/>
          <w:color w:val="auto"/>
          <w:lang w:val="ru-RU"/>
        </w:rPr>
        <w:t>.1.1 Качественный метод нейтрализации вируса</w:t>
      </w:r>
    </w:p>
    <w:p w14:paraId="32056530" w14:textId="77777777" w:rsidR="000628A1" w:rsidRPr="00361530" w:rsidRDefault="000628A1" w:rsidP="000628A1">
      <w:pPr>
        <w:spacing w:after="0" w:line="240" w:lineRule="auto"/>
        <w:ind w:left="0" w:right="0" w:firstLine="567"/>
        <w:rPr>
          <w:bCs/>
          <w:color w:val="auto"/>
          <w:lang w:val="ru-RU"/>
        </w:rPr>
      </w:pPr>
    </w:p>
    <w:p w14:paraId="14079F0F" w14:textId="77777777" w:rsidR="00361530" w:rsidRPr="00361530" w:rsidRDefault="000628A1" w:rsidP="000628A1">
      <w:pPr>
        <w:spacing w:after="0" w:line="240" w:lineRule="auto"/>
        <w:ind w:left="0" w:right="0" w:firstLine="567"/>
        <w:rPr>
          <w:bCs/>
          <w:color w:val="auto"/>
          <w:lang w:val="ru-RU"/>
        </w:rPr>
      </w:pPr>
      <w:r w:rsidRPr="00361530">
        <w:rPr>
          <w:bCs/>
          <w:color w:val="auto"/>
          <w:lang w:val="ru-RU"/>
        </w:rPr>
        <w:t xml:space="preserve">I) </w:t>
      </w:r>
      <w:r w:rsidR="00361530" w:rsidRPr="00361530">
        <w:rPr>
          <w:bCs/>
          <w:color w:val="auto"/>
          <w:lang w:val="ru-RU"/>
        </w:rPr>
        <w:t>Комплемент в образцах сыворотки разрушается при нагревании на водяной бане при 56–59°С в течение 30 минут.</w:t>
      </w:r>
    </w:p>
    <w:p w14:paraId="036DB3E8" w14:textId="77777777" w:rsidR="00361530" w:rsidRPr="00361530" w:rsidRDefault="000628A1" w:rsidP="000628A1">
      <w:pPr>
        <w:spacing w:after="0" w:line="240" w:lineRule="auto"/>
        <w:ind w:left="0" w:right="0" w:firstLine="567"/>
        <w:rPr>
          <w:bCs/>
          <w:color w:val="auto"/>
          <w:lang w:val="ru-RU"/>
        </w:rPr>
      </w:pPr>
      <w:r w:rsidRPr="00361530">
        <w:rPr>
          <w:bCs/>
          <w:color w:val="auto"/>
          <w:lang w:val="ru-RU"/>
        </w:rPr>
        <w:t>II</w:t>
      </w:r>
      <w:r w:rsidR="00361530" w:rsidRPr="00361530">
        <w:rPr>
          <w:bCs/>
          <w:color w:val="auto"/>
          <w:lang w:val="ru-RU"/>
        </w:rPr>
        <w:t xml:space="preserve">) Каждый образец неразбавленной сыворотки поместить в две-три лунки по 50 </w:t>
      </w:r>
      <w:proofErr w:type="spellStart"/>
      <w:r w:rsidR="00361530" w:rsidRPr="00361530">
        <w:rPr>
          <w:bCs/>
          <w:color w:val="auto"/>
          <w:lang w:val="ru-RU"/>
        </w:rPr>
        <w:t>мкл</w:t>
      </w:r>
      <w:proofErr w:type="spellEnd"/>
      <w:r w:rsidR="00361530" w:rsidRPr="00361530">
        <w:rPr>
          <w:bCs/>
          <w:color w:val="auto"/>
          <w:lang w:val="ru-RU"/>
        </w:rPr>
        <w:t xml:space="preserve"> на лунку 96-луночного </w:t>
      </w:r>
      <w:proofErr w:type="spellStart"/>
      <w:r w:rsidR="00361530" w:rsidRPr="00361530">
        <w:rPr>
          <w:bCs/>
          <w:color w:val="auto"/>
          <w:lang w:val="ru-RU"/>
        </w:rPr>
        <w:t>микротитрационного</w:t>
      </w:r>
      <w:proofErr w:type="spellEnd"/>
      <w:r w:rsidR="00361530" w:rsidRPr="00361530">
        <w:rPr>
          <w:bCs/>
          <w:color w:val="auto"/>
          <w:lang w:val="ru-RU"/>
        </w:rPr>
        <w:t xml:space="preserve"> планшета для клеточных культур. Каждую сыворотку также можно развести на 1/2 в MEM перед помещением в две другие лунки.</w:t>
      </w:r>
    </w:p>
    <w:p w14:paraId="229B7A43" w14:textId="77777777" w:rsidR="00361530" w:rsidRPr="00361530" w:rsidRDefault="000628A1" w:rsidP="000628A1">
      <w:pPr>
        <w:spacing w:after="0" w:line="240" w:lineRule="auto"/>
        <w:ind w:left="0" w:right="0" w:firstLine="567"/>
        <w:rPr>
          <w:bCs/>
          <w:color w:val="auto"/>
          <w:lang w:val="ru-RU"/>
        </w:rPr>
      </w:pPr>
      <w:r w:rsidRPr="00361530">
        <w:rPr>
          <w:bCs/>
          <w:color w:val="auto"/>
          <w:lang w:val="ru-RU"/>
        </w:rPr>
        <w:lastRenderedPageBreak/>
        <w:t>III</w:t>
      </w:r>
      <w:r w:rsidR="00361530" w:rsidRPr="00361530">
        <w:rPr>
          <w:bCs/>
          <w:color w:val="auto"/>
          <w:lang w:val="ru-RU"/>
        </w:rPr>
        <w:t xml:space="preserve">) в каждую лунку добавить 50 </w:t>
      </w:r>
      <w:proofErr w:type="spellStart"/>
      <w:r w:rsidR="00361530" w:rsidRPr="00361530">
        <w:rPr>
          <w:bCs/>
          <w:color w:val="auto"/>
          <w:lang w:val="ru-RU"/>
        </w:rPr>
        <w:t>мкл</w:t>
      </w:r>
      <w:proofErr w:type="spellEnd"/>
      <w:r w:rsidR="00361530" w:rsidRPr="00361530">
        <w:rPr>
          <w:bCs/>
          <w:color w:val="auto"/>
          <w:lang w:val="ru-RU"/>
        </w:rPr>
        <w:t xml:space="preserve"> вирусной суспензии, содержащей 100 TCID50 (</w:t>
      </w:r>
      <w:proofErr w:type="spellStart"/>
      <w:r w:rsidR="00361530" w:rsidRPr="00361530">
        <w:rPr>
          <w:bCs/>
          <w:color w:val="auto"/>
          <w:lang w:val="ru-RU"/>
        </w:rPr>
        <w:t>цитопатическая</w:t>
      </w:r>
      <w:proofErr w:type="spellEnd"/>
      <w:r w:rsidR="00361530" w:rsidRPr="00361530">
        <w:rPr>
          <w:bCs/>
          <w:color w:val="auto"/>
          <w:lang w:val="ru-RU"/>
        </w:rPr>
        <w:t xml:space="preserve"> доза) (или 2 × 103 TCID50/мл), полученной путем разбавления маточной вирусной суспензии известного титра MEM.</w:t>
      </w:r>
    </w:p>
    <w:p w14:paraId="41AE31E8" w14:textId="77777777" w:rsidR="00361530" w:rsidRPr="00361530" w:rsidRDefault="000628A1" w:rsidP="000628A1">
      <w:pPr>
        <w:spacing w:after="0" w:line="240" w:lineRule="auto"/>
        <w:ind w:left="0" w:right="0" w:firstLine="567"/>
        <w:rPr>
          <w:bCs/>
          <w:color w:val="auto"/>
          <w:lang w:val="ru-RU"/>
        </w:rPr>
      </w:pPr>
      <w:r w:rsidRPr="00361530">
        <w:rPr>
          <w:bCs/>
          <w:color w:val="auto"/>
          <w:lang w:val="ru-RU"/>
        </w:rPr>
        <w:t>IV</w:t>
      </w:r>
      <w:r w:rsidR="00361530" w:rsidRPr="00361530">
        <w:rPr>
          <w:bCs/>
          <w:color w:val="auto"/>
          <w:lang w:val="ru-RU"/>
        </w:rPr>
        <w:t>) Планшет осторожно встряхивать и поместить в инкубатор на 1 час при температуре 37 °C (±2 °C) (необязательно 5% CO</w:t>
      </w:r>
      <w:r w:rsidR="00361530" w:rsidRPr="000628A1">
        <w:rPr>
          <w:bCs/>
          <w:color w:val="auto"/>
          <w:vertAlign w:val="subscript"/>
          <w:lang w:val="ru-RU"/>
        </w:rPr>
        <w:t>2</w:t>
      </w:r>
      <w:r w:rsidR="00361530" w:rsidRPr="00361530">
        <w:rPr>
          <w:bCs/>
          <w:color w:val="auto"/>
          <w:lang w:val="ru-RU"/>
        </w:rPr>
        <w:t>).</w:t>
      </w:r>
    </w:p>
    <w:p w14:paraId="52BD7BC1" w14:textId="77777777" w:rsidR="00361530" w:rsidRPr="00361530" w:rsidRDefault="000628A1" w:rsidP="000628A1">
      <w:pPr>
        <w:spacing w:after="0" w:line="240" w:lineRule="auto"/>
        <w:ind w:left="0" w:right="0" w:firstLine="567"/>
        <w:rPr>
          <w:bCs/>
          <w:color w:val="auto"/>
          <w:lang w:val="ru-RU"/>
        </w:rPr>
      </w:pPr>
      <w:r w:rsidRPr="00361530">
        <w:rPr>
          <w:bCs/>
          <w:color w:val="auto"/>
          <w:lang w:val="ru-RU"/>
        </w:rPr>
        <w:t>V</w:t>
      </w:r>
      <w:r w:rsidR="00361530" w:rsidRPr="00361530">
        <w:rPr>
          <w:bCs/>
          <w:color w:val="auto"/>
          <w:lang w:val="ru-RU"/>
        </w:rPr>
        <w:t xml:space="preserve">) в каждую лунку добавить 150 </w:t>
      </w:r>
      <w:proofErr w:type="spellStart"/>
      <w:r w:rsidR="00361530" w:rsidRPr="00361530">
        <w:rPr>
          <w:bCs/>
          <w:color w:val="auto"/>
          <w:lang w:val="ru-RU"/>
        </w:rPr>
        <w:t>мкл</w:t>
      </w:r>
      <w:proofErr w:type="spellEnd"/>
      <w:r w:rsidR="00361530" w:rsidRPr="00361530">
        <w:rPr>
          <w:bCs/>
          <w:color w:val="auto"/>
          <w:lang w:val="ru-RU"/>
        </w:rPr>
        <w:t xml:space="preserve"> клеточной суспензии, содержащей около 150000 клеток/мл.</w:t>
      </w:r>
    </w:p>
    <w:p w14:paraId="4A417939" w14:textId="77777777" w:rsidR="00361530" w:rsidRPr="00361530" w:rsidRDefault="000628A1" w:rsidP="000628A1">
      <w:pPr>
        <w:spacing w:after="0" w:line="240" w:lineRule="auto"/>
        <w:ind w:left="0" w:right="0" w:firstLine="567"/>
        <w:rPr>
          <w:bCs/>
          <w:color w:val="auto"/>
          <w:lang w:val="ru-RU"/>
        </w:rPr>
      </w:pPr>
      <w:r w:rsidRPr="00361530">
        <w:rPr>
          <w:bCs/>
          <w:color w:val="auto"/>
          <w:lang w:val="ru-RU"/>
        </w:rPr>
        <w:t>VI</w:t>
      </w:r>
      <w:r w:rsidR="00361530" w:rsidRPr="00361530">
        <w:rPr>
          <w:bCs/>
          <w:color w:val="auto"/>
          <w:lang w:val="ru-RU"/>
        </w:rPr>
        <w:t>) Планшет накрыть (для инкубации в CO</w:t>
      </w:r>
      <w:r w:rsidR="00361530" w:rsidRPr="000628A1">
        <w:rPr>
          <w:bCs/>
          <w:color w:val="auto"/>
          <w:vertAlign w:val="subscript"/>
          <w:lang w:val="ru-RU"/>
        </w:rPr>
        <w:t>2</w:t>
      </w:r>
      <w:r w:rsidR="00361530" w:rsidRPr="00361530">
        <w:rPr>
          <w:bCs/>
          <w:color w:val="auto"/>
          <w:lang w:val="ru-RU"/>
        </w:rPr>
        <w:t>) или осторожно запечатать края планшета пластиковым листом (для инкубации на воздухе). Планшет слегка встряхивать, чтобы добиться равномерного распределения клеток на дне лунок, и поместить в инкубатор при температуре 37 °C (± 2 °C) (по усмотрению CO</w:t>
      </w:r>
      <w:r w:rsidR="00361530" w:rsidRPr="000628A1">
        <w:rPr>
          <w:bCs/>
          <w:color w:val="auto"/>
          <w:vertAlign w:val="subscript"/>
          <w:lang w:val="ru-RU"/>
        </w:rPr>
        <w:t>2</w:t>
      </w:r>
      <w:r w:rsidR="00361530" w:rsidRPr="00361530">
        <w:rPr>
          <w:bCs/>
          <w:color w:val="auto"/>
          <w:lang w:val="ru-RU"/>
        </w:rPr>
        <w:t>) на 3–5 дней.</w:t>
      </w:r>
    </w:p>
    <w:p w14:paraId="4CD45EF1" w14:textId="77777777" w:rsidR="00361530" w:rsidRPr="00361530" w:rsidRDefault="000628A1" w:rsidP="000628A1">
      <w:pPr>
        <w:spacing w:after="0" w:line="240" w:lineRule="auto"/>
        <w:ind w:left="0" w:right="0" w:firstLine="567"/>
        <w:rPr>
          <w:bCs/>
          <w:color w:val="auto"/>
          <w:lang w:val="ru-RU"/>
        </w:rPr>
      </w:pPr>
      <w:r w:rsidRPr="00361530">
        <w:rPr>
          <w:bCs/>
          <w:color w:val="auto"/>
          <w:lang w:val="ru-RU"/>
        </w:rPr>
        <w:t>VII</w:t>
      </w:r>
      <w:r w:rsidR="00361530" w:rsidRPr="00361530">
        <w:rPr>
          <w:bCs/>
          <w:color w:val="auto"/>
          <w:lang w:val="ru-RU"/>
        </w:rPr>
        <w:t>) Контроли: каждый набор планшетов должен включать следующие контроли:</w:t>
      </w:r>
    </w:p>
    <w:p w14:paraId="0A4B1839"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а) Контроль вирусов</w:t>
      </w:r>
    </w:p>
    <w:p w14:paraId="7DECFFEC"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 xml:space="preserve">Необходим для проверки количества вируса, фактически использованного для испытания. Дозу вируса, используемую для нейтрализации вируса (целевой титр 100 TCID50/50 </w:t>
      </w:r>
      <w:proofErr w:type="spellStart"/>
      <w:r w:rsidRPr="00361530">
        <w:rPr>
          <w:bCs/>
          <w:color w:val="auto"/>
          <w:lang w:val="ru-RU"/>
        </w:rPr>
        <w:t>мкл</w:t>
      </w:r>
      <w:proofErr w:type="spellEnd"/>
      <w:r w:rsidRPr="00361530">
        <w:rPr>
          <w:bCs/>
          <w:color w:val="auto"/>
          <w:lang w:val="ru-RU"/>
        </w:rPr>
        <w:t xml:space="preserve">), разбавить MEM (минимальная поддерживающая среда) в соотношении 1/10, 1/100 и 1/1000. По 50 </w:t>
      </w:r>
      <w:proofErr w:type="spellStart"/>
      <w:r w:rsidRPr="00361530">
        <w:rPr>
          <w:bCs/>
          <w:color w:val="auto"/>
          <w:lang w:val="ru-RU"/>
        </w:rPr>
        <w:t>мкл</w:t>
      </w:r>
      <w:proofErr w:type="spellEnd"/>
      <w:r w:rsidRPr="00361530">
        <w:rPr>
          <w:bCs/>
          <w:color w:val="auto"/>
          <w:lang w:val="ru-RU"/>
        </w:rPr>
        <w:t xml:space="preserve"> каждого разведения поместить не менее чем в четыре лунки, в которые добавляют по 50 </w:t>
      </w:r>
      <w:proofErr w:type="spellStart"/>
      <w:r w:rsidRPr="00361530">
        <w:rPr>
          <w:bCs/>
          <w:color w:val="auto"/>
          <w:lang w:val="ru-RU"/>
        </w:rPr>
        <w:t>мкл</w:t>
      </w:r>
      <w:proofErr w:type="spellEnd"/>
      <w:r w:rsidRPr="00361530">
        <w:rPr>
          <w:bCs/>
          <w:color w:val="auto"/>
          <w:lang w:val="ru-RU"/>
        </w:rPr>
        <w:t xml:space="preserve"> среды перед инкубацией лунок в течение 1 часа при температуре 37 °С (±2 °С). Суспензию клеток добавлять так же, как и испытуемые сыворотки.</w:t>
      </w:r>
    </w:p>
    <w:p w14:paraId="0822E9F0"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b) Клеточный контроль</w:t>
      </w:r>
    </w:p>
    <w:p w14:paraId="3E755090"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 xml:space="preserve">150 </w:t>
      </w:r>
      <w:proofErr w:type="spellStart"/>
      <w:r w:rsidRPr="00361530">
        <w:rPr>
          <w:bCs/>
          <w:color w:val="auto"/>
          <w:lang w:val="ru-RU"/>
        </w:rPr>
        <w:t>мкл</w:t>
      </w:r>
      <w:proofErr w:type="spellEnd"/>
      <w:r w:rsidRPr="00361530">
        <w:rPr>
          <w:bCs/>
          <w:color w:val="auto"/>
          <w:lang w:val="ru-RU"/>
        </w:rPr>
        <w:t xml:space="preserve"> клеточной суспензии и 100 </w:t>
      </w:r>
      <w:proofErr w:type="spellStart"/>
      <w:r w:rsidRPr="00361530">
        <w:rPr>
          <w:bCs/>
          <w:color w:val="auto"/>
          <w:lang w:val="ru-RU"/>
        </w:rPr>
        <w:t>мкл</w:t>
      </w:r>
      <w:proofErr w:type="spellEnd"/>
      <w:r w:rsidRPr="00361530">
        <w:rPr>
          <w:bCs/>
          <w:color w:val="auto"/>
          <w:lang w:val="ru-RU"/>
        </w:rPr>
        <w:t xml:space="preserve"> МЕМ поместить в каждую из не менее четырех лунок.</w:t>
      </w:r>
    </w:p>
    <w:p w14:paraId="35A07CE1"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с) Положительный контроль сыворотки</w:t>
      </w:r>
    </w:p>
    <w:p w14:paraId="68E39209"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 xml:space="preserve">Использовать сыворотку с известным титром нейтрализующих антител против SHV-1. Так же, как и для испытуемых сывороток, приготовить пять разведений: разведение, соответствующее титру сыворотки, двукратное и четырехкратное разведения, а также 1/2 и 1/4 разведения (эквивалентно Т, Т/2, Т/4, 2Т и 4Т, где Т - титр сыворотки, т.е. неразбавленная сыворотка для качественного испытания). Добавить 50 </w:t>
      </w:r>
      <w:proofErr w:type="spellStart"/>
      <w:r w:rsidRPr="00361530">
        <w:rPr>
          <w:bCs/>
          <w:color w:val="auto"/>
          <w:lang w:val="ru-RU"/>
        </w:rPr>
        <w:t>мкл</w:t>
      </w:r>
      <w:proofErr w:type="spellEnd"/>
      <w:r w:rsidRPr="00361530">
        <w:rPr>
          <w:bCs/>
          <w:color w:val="auto"/>
          <w:lang w:val="ru-RU"/>
        </w:rPr>
        <w:t xml:space="preserve"> вирусной суспензии, содержащей 100 TCID50/50 </w:t>
      </w:r>
      <w:proofErr w:type="spellStart"/>
      <w:r w:rsidRPr="00361530">
        <w:rPr>
          <w:bCs/>
          <w:color w:val="auto"/>
          <w:lang w:val="ru-RU"/>
        </w:rPr>
        <w:t>мкл</w:t>
      </w:r>
      <w:proofErr w:type="spellEnd"/>
      <w:r w:rsidRPr="00361530">
        <w:rPr>
          <w:bCs/>
          <w:color w:val="auto"/>
          <w:lang w:val="ru-RU"/>
        </w:rPr>
        <w:t xml:space="preserve">, к 50 </w:t>
      </w:r>
      <w:proofErr w:type="spellStart"/>
      <w:r w:rsidRPr="00361530">
        <w:rPr>
          <w:bCs/>
          <w:color w:val="auto"/>
          <w:lang w:val="ru-RU"/>
        </w:rPr>
        <w:t>мкл</w:t>
      </w:r>
      <w:proofErr w:type="spellEnd"/>
      <w:r w:rsidRPr="00361530">
        <w:rPr>
          <w:bCs/>
          <w:color w:val="auto"/>
          <w:lang w:val="ru-RU"/>
        </w:rPr>
        <w:t xml:space="preserve"> разведения образца положительного контроля. Клетки инкубировать и добавить клеточную суспензию так же, как и для испытуемых сывороток.</w:t>
      </w:r>
    </w:p>
    <w:p w14:paraId="7D665C5A"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d) Сывороточный контроль</w:t>
      </w:r>
    </w:p>
    <w:p w14:paraId="5AF1D6EA"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 xml:space="preserve">Необходим для проверки отсутствия токсического действия сывороток на клетки. Лунки, содержащие по 50 </w:t>
      </w:r>
      <w:proofErr w:type="spellStart"/>
      <w:r w:rsidRPr="00361530">
        <w:rPr>
          <w:bCs/>
          <w:color w:val="auto"/>
          <w:lang w:val="ru-RU"/>
        </w:rPr>
        <w:t>мкл</w:t>
      </w:r>
      <w:proofErr w:type="spellEnd"/>
      <w:r w:rsidRPr="00361530">
        <w:rPr>
          <w:bCs/>
          <w:color w:val="auto"/>
          <w:lang w:val="ru-RU"/>
        </w:rPr>
        <w:t xml:space="preserve"> каждой сыворотки, инкубировать в течение 1 часа при температуре 37°С в присутствии 50 </w:t>
      </w:r>
      <w:proofErr w:type="spellStart"/>
      <w:r w:rsidRPr="00361530">
        <w:rPr>
          <w:bCs/>
          <w:color w:val="auto"/>
          <w:lang w:val="ru-RU"/>
        </w:rPr>
        <w:t>мкл</w:t>
      </w:r>
      <w:proofErr w:type="spellEnd"/>
      <w:r w:rsidRPr="00361530">
        <w:rPr>
          <w:bCs/>
          <w:color w:val="auto"/>
          <w:lang w:val="ru-RU"/>
        </w:rPr>
        <w:t xml:space="preserve"> среды. Затем добавить 150 </w:t>
      </w:r>
      <w:proofErr w:type="spellStart"/>
      <w:r w:rsidRPr="00361530">
        <w:rPr>
          <w:bCs/>
          <w:color w:val="auto"/>
          <w:lang w:val="ru-RU"/>
        </w:rPr>
        <w:t>мкл</w:t>
      </w:r>
      <w:proofErr w:type="spellEnd"/>
      <w:r w:rsidRPr="00361530">
        <w:rPr>
          <w:bCs/>
          <w:color w:val="auto"/>
          <w:lang w:val="ru-RU"/>
        </w:rPr>
        <w:t xml:space="preserve"> клеточной суспензии так же, как и для испытуемых сывороток.</w:t>
      </w:r>
    </w:p>
    <w:p w14:paraId="0ACEB058"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е) Отрицательный контроль сыворотки</w:t>
      </w:r>
    </w:p>
    <w:p w14:paraId="364FD192"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Выполняется так же, как и для испытуемых сывороток.</w:t>
      </w:r>
    </w:p>
    <w:p w14:paraId="2F27B152" w14:textId="77777777" w:rsidR="00361530" w:rsidRPr="00361530" w:rsidRDefault="00CE5718" w:rsidP="000628A1">
      <w:pPr>
        <w:spacing w:after="0" w:line="240" w:lineRule="auto"/>
        <w:ind w:left="0" w:right="0" w:firstLine="567"/>
        <w:rPr>
          <w:bCs/>
          <w:color w:val="auto"/>
          <w:lang w:val="ru-RU"/>
        </w:rPr>
      </w:pPr>
      <w:r w:rsidRPr="00361530">
        <w:rPr>
          <w:bCs/>
          <w:color w:val="auto"/>
          <w:lang w:val="ru-RU"/>
        </w:rPr>
        <w:t>VIII</w:t>
      </w:r>
      <w:r w:rsidR="00361530" w:rsidRPr="00361530">
        <w:rPr>
          <w:bCs/>
          <w:color w:val="auto"/>
          <w:lang w:val="ru-RU"/>
        </w:rPr>
        <w:t xml:space="preserve">) Считывание результатов: микроскоп с перевернутым изображением (×100) используется для исследования лунок на токсические эффекты и </w:t>
      </w:r>
      <w:proofErr w:type="spellStart"/>
      <w:r w:rsidR="00361530" w:rsidRPr="00361530">
        <w:rPr>
          <w:bCs/>
          <w:color w:val="auto"/>
          <w:lang w:val="ru-RU"/>
        </w:rPr>
        <w:t>цитопатический</w:t>
      </w:r>
      <w:proofErr w:type="spellEnd"/>
      <w:r w:rsidR="00361530" w:rsidRPr="00361530">
        <w:rPr>
          <w:bCs/>
          <w:color w:val="auto"/>
          <w:lang w:val="ru-RU"/>
        </w:rPr>
        <w:t xml:space="preserve"> эффект (ЦПЭ) через 3-5 дней. Контроль должен давать следующие результаты, если испытания считаются действительными:</w:t>
      </w:r>
    </w:p>
    <w:p w14:paraId="20CA641E"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а) Контроль вирусов</w:t>
      </w:r>
    </w:p>
    <w:p w14:paraId="0F6F97C3"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 xml:space="preserve">Титр вирусной суспензии должен составлять от 30 до 300 TCID50/50 </w:t>
      </w:r>
      <w:proofErr w:type="spellStart"/>
      <w:r w:rsidRPr="00361530">
        <w:rPr>
          <w:bCs/>
          <w:color w:val="auto"/>
          <w:lang w:val="ru-RU"/>
        </w:rPr>
        <w:t>мкл</w:t>
      </w:r>
      <w:proofErr w:type="spellEnd"/>
      <w:r w:rsidRPr="00361530">
        <w:rPr>
          <w:bCs/>
          <w:color w:val="auto"/>
          <w:lang w:val="ru-RU"/>
        </w:rPr>
        <w:t>.</w:t>
      </w:r>
    </w:p>
    <w:p w14:paraId="471DC48B"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b) Клеточный контроль</w:t>
      </w:r>
    </w:p>
    <w:p w14:paraId="5C09E4E2"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Клеточный слой должен быть неповрежденным.</w:t>
      </w:r>
    </w:p>
    <w:p w14:paraId="029E8A85"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с) Положительный контроль сыворотки</w:t>
      </w:r>
    </w:p>
    <w:p w14:paraId="1734D0AF"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Полученный титр должен быть равен прогнозируемому титру в пределах одного разведения.</w:t>
      </w:r>
    </w:p>
    <w:p w14:paraId="60367E2D"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lastRenderedPageBreak/>
        <w:t>d) Сывороточный контроль</w:t>
      </w:r>
    </w:p>
    <w:p w14:paraId="25936276"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При обследовании на ЦПЭ следует учитывать возможное токсическое действие на клетки.</w:t>
      </w:r>
    </w:p>
    <w:p w14:paraId="223501BD"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e) отрицательный контроль сыворотки</w:t>
      </w:r>
    </w:p>
    <w:p w14:paraId="66908454" w14:textId="77777777" w:rsidR="00361530" w:rsidRPr="00361530" w:rsidRDefault="00361530" w:rsidP="000628A1">
      <w:pPr>
        <w:spacing w:after="0" w:line="240" w:lineRule="auto"/>
        <w:ind w:left="0" w:right="0" w:firstLine="567"/>
        <w:rPr>
          <w:bCs/>
          <w:color w:val="auto"/>
          <w:lang w:val="ru-RU"/>
        </w:rPr>
      </w:pPr>
      <w:proofErr w:type="spellStart"/>
      <w:r w:rsidRPr="00361530">
        <w:rPr>
          <w:bCs/>
          <w:color w:val="auto"/>
          <w:lang w:val="ru-RU"/>
        </w:rPr>
        <w:t>Цитопатический</w:t>
      </w:r>
      <w:proofErr w:type="spellEnd"/>
      <w:r w:rsidRPr="00361530">
        <w:rPr>
          <w:bCs/>
          <w:color w:val="auto"/>
          <w:lang w:val="ru-RU"/>
        </w:rPr>
        <w:t xml:space="preserve"> эффект должен присутствовать.</w:t>
      </w:r>
    </w:p>
    <w:p w14:paraId="51316E18" w14:textId="77777777" w:rsidR="00361530" w:rsidRPr="00361530" w:rsidRDefault="00CE5718" w:rsidP="000628A1">
      <w:pPr>
        <w:spacing w:after="0" w:line="240" w:lineRule="auto"/>
        <w:ind w:left="0" w:right="0" w:firstLine="567"/>
        <w:rPr>
          <w:bCs/>
          <w:color w:val="auto"/>
          <w:lang w:val="ru-RU"/>
        </w:rPr>
      </w:pPr>
      <w:r w:rsidRPr="00361530">
        <w:rPr>
          <w:bCs/>
          <w:color w:val="auto"/>
          <w:lang w:val="ru-RU"/>
        </w:rPr>
        <w:t>IX</w:t>
      </w:r>
      <w:r w:rsidR="00361530" w:rsidRPr="00361530">
        <w:rPr>
          <w:bCs/>
          <w:color w:val="auto"/>
          <w:lang w:val="ru-RU"/>
        </w:rPr>
        <w:t>) Для испытуемой сыворотки, распределенной в три лунки, можно увидеть следующие результаты:</w:t>
      </w:r>
    </w:p>
    <w:p w14:paraId="705977EA"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а) наличие ЦПЭ в трех лунках = отрицательный результат;</w:t>
      </w:r>
    </w:p>
    <w:p w14:paraId="335A4D1C"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b) отсутствие ЦПЭ в трех лунках на 3-й день = положительный результат;</w:t>
      </w:r>
    </w:p>
    <w:p w14:paraId="2A4D03D0"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c) наличие ЦПЭ в одной лунке, но не в других = неубедительный результат, испытания необходимо повторить;</w:t>
      </w:r>
    </w:p>
    <w:p w14:paraId="679817D4"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d) небольшие бляшки, указывающие на ЦПЭ на 3-й день = сомнительный результат, испытания необходимо повторить;</w:t>
      </w:r>
    </w:p>
    <w:p w14:paraId="50D714FA"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e) токсичность в контрольной сыворотке и в лунках для анализа = нечитаемый результат, испытания необходимо повторить. (Необходимо обратить внимание, что замена среды свежей через 16 часов инкубации снизит токсичность, не влияя на титр специфических антител.) Планшеты можно считывать до 5-го дня инкубации.</w:t>
      </w:r>
    </w:p>
    <w:p w14:paraId="664CA96A"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f) Если сыворотка изначально была разведена на 1/2 и распределена по двум лункам, считается положительной, если ЦПЭ отсутствует в одной из двух лунок, и настоятельно рекомендуется провести повторное испытание с использованием количественного метода. Разбавление сыворотки до 1/2 может предотвратить токсический эффект испытуемых сывороток.</w:t>
      </w:r>
    </w:p>
    <w:p w14:paraId="260C253F" w14:textId="77777777" w:rsidR="00361530" w:rsidRPr="00361530" w:rsidRDefault="00CE5718" w:rsidP="000628A1">
      <w:pPr>
        <w:spacing w:after="0" w:line="240" w:lineRule="auto"/>
        <w:ind w:left="0" w:right="0" w:firstLine="567"/>
        <w:rPr>
          <w:bCs/>
          <w:color w:val="auto"/>
          <w:lang w:val="ru-RU"/>
        </w:rPr>
      </w:pPr>
      <w:r w:rsidRPr="00361530">
        <w:rPr>
          <w:bCs/>
          <w:color w:val="auto"/>
          <w:lang w:val="ru-RU"/>
        </w:rPr>
        <w:t>X</w:t>
      </w:r>
      <w:r w:rsidR="00361530" w:rsidRPr="00361530">
        <w:rPr>
          <w:bCs/>
          <w:color w:val="auto"/>
          <w:lang w:val="ru-RU"/>
        </w:rPr>
        <w:t>) Интерпретация результатов: Настоящее испытание позволяет определить наличие или отсутствие нейтрализующих антител к SHV-1. Он не способен отличить вакцинированных животных от инфицированных.</w:t>
      </w:r>
    </w:p>
    <w:p w14:paraId="3AFD9E48"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Описание методики (НВ в течение 1 часа при температуре 37 °С) может давать ложноотрицательные и ложноположительные результаты. Чувствительность можно повысить (что приведет к меньшему количеству ложноотрицательных результатов) путем применения метода, основанного на нейтрализации, включающей 24-часовой контакт между вирусом и сывороткой при температуре 4 °C перед добавлением клеток.</w:t>
      </w:r>
    </w:p>
    <w:p w14:paraId="2EADF312" w14:textId="77777777" w:rsidR="00361530" w:rsidRPr="00361530" w:rsidRDefault="005C4F78" w:rsidP="000628A1">
      <w:pPr>
        <w:spacing w:after="0" w:line="240" w:lineRule="auto"/>
        <w:ind w:left="0" w:right="0" w:firstLine="567"/>
        <w:rPr>
          <w:bCs/>
          <w:color w:val="auto"/>
          <w:lang w:val="ru-RU"/>
        </w:rPr>
      </w:pPr>
      <w:r>
        <w:rPr>
          <w:bCs/>
          <w:color w:val="auto"/>
          <w:lang w:val="ru-RU"/>
        </w:rPr>
        <w:t>М</w:t>
      </w:r>
      <w:r w:rsidR="00361530" w:rsidRPr="00361530">
        <w:rPr>
          <w:bCs/>
          <w:color w:val="auto"/>
          <w:lang w:val="ru-RU"/>
        </w:rPr>
        <w:t>етод, в котором используются неразбавленные образцы сыворотки (1/2 конечного разведения), в некоторых случаях может дать ложноположительный результат из-за неспецифической нейтрализации вируса. Настоящую проблему можно решить путем проведения подтверждающего испытания с использованием количественного метода (см. Раздел B.2.1.2 ниже).</w:t>
      </w:r>
    </w:p>
    <w:p w14:paraId="6252B4E1"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Образцы, дающие неубедительные результаты, могут быть проверены альтернативным методом с большей чувствительностью, таким как ИФА, или у животного следует повторно взять кровь для подтверждения статуса.</w:t>
      </w:r>
    </w:p>
    <w:p w14:paraId="19F2168C" w14:textId="77777777" w:rsidR="00361530" w:rsidRPr="00361530" w:rsidRDefault="00361530" w:rsidP="000628A1">
      <w:pPr>
        <w:spacing w:after="0" w:line="240" w:lineRule="auto"/>
        <w:ind w:left="0" w:right="0" w:firstLine="567"/>
        <w:rPr>
          <w:bCs/>
          <w:color w:val="auto"/>
          <w:lang w:val="ru-RU"/>
        </w:rPr>
      </w:pPr>
    </w:p>
    <w:p w14:paraId="7757C788" w14:textId="77777777" w:rsidR="00361530" w:rsidRPr="000628A1" w:rsidRDefault="000628A1" w:rsidP="000628A1">
      <w:pPr>
        <w:spacing w:after="0" w:line="240" w:lineRule="auto"/>
        <w:ind w:left="0" w:right="0" w:firstLine="567"/>
        <w:rPr>
          <w:b/>
          <w:color w:val="auto"/>
          <w:lang w:val="ru-RU"/>
        </w:rPr>
      </w:pPr>
      <w:r w:rsidRPr="000628A1">
        <w:rPr>
          <w:b/>
          <w:color w:val="auto"/>
          <w:lang w:val="ru-RU"/>
        </w:rPr>
        <w:t>3</w:t>
      </w:r>
      <w:r w:rsidR="00361530" w:rsidRPr="000628A1">
        <w:rPr>
          <w:b/>
          <w:color w:val="auto"/>
          <w:lang w:val="ru-RU"/>
        </w:rPr>
        <w:t>.1.2 Количественный метод нейтрализации вируса</w:t>
      </w:r>
    </w:p>
    <w:p w14:paraId="7D8EA1F7" w14:textId="77777777" w:rsidR="000628A1" w:rsidRPr="00361530" w:rsidRDefault="000628A1" w:rsidP="000628A1">
      <w:pPr>
        <w:spacing w:after="0" w:line="240" w:lineRule="auto"/>
        <w:ind w:left="0" w:right="0" w:firstLine="567"/>
        <w:rPr>
          <w:bCs/>
          <w:color w:val="auto"/>
          <w:lang w:val="ru-RU"/>
        </w:rPr>
      </w:pPr>
    </w:p>
    <w:p w14:paraId="63E880C8"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Количественный метод НВ аналогичен качественному, но каждая сыворотка используется как в неразбавленном виде, так и в серии разведений. В зависимости от заданной точности, цели испытания и ожидаемого титра для каждого разведения сыворотки используются две лунки и диапазон разведений, соответствующий настоящей цели. Нижеследующая процедура приводит описание испытания для исходного максимального разведения 1/16. Можно достичь более высоких титров, используя большее количество лунок (например, от A1 до A12 для разведения 1/256).</w:t>
      </w:r>
    </w:p>
    <w:p w14:paraId="69A162D4" w14:textId="77777777" w:rsidR="00361530" w:rsidRPr="00361530" w:rsidRDefault="00AD0ADD" w:rsidP="000628A1">
      <w:pPr>
        <w:spacing w:after="0" w:line="240" w:lineRule="auto"/>
        <w:ind w:left="0" w:right="0" w:firstLine="567"/>
        <w:rPr>
          <w:bCs/>
          <w:color w:val="auto"/>
          <w:lang w:val="ru-RU"/>
        </w:rPr>
      </w:pPr>
      <w:r w:rsidRPr="00361530">
        <w:rPr>
          <w:bCs/>
          <w:color w:val="auto"/>
          <w:lang w:val="ru-RU"/>
        </w:rPr>
        <w:t>I</w:t>
      </w:r>
      <w:r w:rsidR="00361530" w:rsidRPr="00361530">
        <w:rPr>
          <w:bCs/>
          <w:color w:val="auto"/>
          <w:lang w:val="ru-RU"/>
        </w:rPr>
        <w:t>) Комплемент в образцах сыворотки разрушается при нагревании на водяной бане при температуре 56 - 59 °С в течение 30 минут.</w:t>
      </w:r>
    </w:p>
    <w:p w14:paraId="6F59479D" w14:textId="77777777" w:rsidR="00361530" w:rsidRPr="00361530" w:rsidRDefault="00AD0ADD" w:rsidP="000628A1">
      <w:pPr>
        <w:spacing w:after="0" w:line="240" w:lineRule="auto"/>
        <w:ind w:left="0" w:right="0" w:firstLine="567"/>
        <w:rPr>
          <w:bCs/>
          <w:color w:val="auto"/>
          <w:lang w:val="ru-RU"/>
        </w:rPr>
      </w:pPr>
      <w:r w:rsidRPr="00361530">
        <w:rPr>
          <w:bCs/>
          <w:color w:val="auto"/>
          <w:lang w:val="ru-RU"/>
        </w:rPr>
        <w:lastRenderedPageBreak/>
        <w:t>II</w:t>
      </w:r>
      <w:r w:rsidR="00361530" w:rsidRPr="00361530">
        <w:rPr>
          <w:bCs/>
          <w:color w:val="auto"/>
          <w:lang w:val="ru-RU"/>
        </w:rPr>
        <w:t xml:space="preserve">) 75 </w:t>
      </w:r>
      <w:proofErr w:type="spellStart"/>
      <w:r w:rsidR="00361530" w:rsidRPr="00361530">
        <w:rPr>
          <w:bCs/>
          <w:color w:val="auto"/>
          <w:lang w:val="ru-RU"/>
        </w:rPr>
        <w:t>мкл</w:t>
      </w:r>
      <w:proofErr w:type="spellEnd"/>
      <w:r w:rsidR="00361530" w:rsidRPr="00361530">
        <w:rPr>
          <w:bCs/>
          <w:color w:val="auto"/>
          <w:lang w:val="ru-RU"/>
        </w:rPr>
        <w:t xml:space="preserve"> MEM добавляется в лунку A2 и 50 </w:t>
      </w:r>
      <w:proofErr w:type="spellStart"/>
      <w:r w:rsidR="00361530" w:rsidRPr="00361530">
        <w:rPr>
          <w:bCs/>
          <w:color w:val="auto"/>
          <w:lang w:val="ru-RU"/>
        </w:rPr>
        <w:t>мкл</w:t>
      </w:r>
      <w:proofErr w:type="spellEnd"/>
      <w:r w:rsidR="00361530" w:rsidRPr="00361530">
        <w:rPr>
          <w:bCs/>
          <w:color w:val="auto"/>
          <w:lang w:val="ru-RU"/>
        </w:rPr>
        <w:t xml:space="preserve"> MEM добавляется в лунки A1 и A3-A6 96-луночного </w:t>
      </w:r>
      <w:proofErr w:type="spellStart"/>
      <w:r w:rsidR="00361530" w:rsidRPr="00361530">
        <w:rPr>
          <w:bCs/>
          <w:color w:val="auto"/>
          <w:lang w:val="ru-RU"/>
        </w:rPr>
        <w:t>титрационного</w:t>
      </w:r>
      <w:proofErr w:type="spellEnd"/>
      <w:r w:rsidR="00361530" w:rsidRPr="00361530">
        <w:rPr>
          <w:bCs/>
          <w:color w:val="auto"/>
          <w:lang w:val="ru-RU"/>
        </w:rPr>
        <w:t xml:space="preserve"> </w:t>
      </w:r>
      <w:proofErr w:type="spellStart"/>
      <w:r w:rsidR="00361530" w:rsidRPr="00361530">
        <w:rPr>
          <w:bCs/>
          <w:color w:val="auto"/>
          <w:lang w:val="ru-RU"/>
        </w:rPr>
        <w:t>микропланшета</w:t>
      </w:r>
      <w:proofErr w:type="spellEnd"/>
      <w:r w:rsidR="00361530" w:rsidRPr="00361530">
        <w:rPr>
          <w:bCs/>
          <w:color w:val="auto"/>
          <w:lang w:val="ru-RU"/>
        </w:rPr>
        <w:t xml:space="preserve"> для клеточных культур и продолжается для сопоставимых лунок в рядах B, C и т.д., для дополнительных образцов сыворотки.</w:t>
      </w:r>
    </w:p>
    <w:p w14:paraId="4F1D41C1" w14:textId="77777777" w:rsidR="00361530" w:rsidRPr="00361530" w:rsidRDefault="00AD0ADD" w:rsidP="000628A1">
      <w:pPr>
        <w:spacing w:after="0" w:line="240" w:lineRule="auto"/>
        <w:ind w:left="0" w:right="0" w:firstLine="567"/>
        <w:rPr>
          <w:bCs/>
          <w:color w:val="auto"/>
          <w:lang w:val="ru-RU"/>
        </w:rPr>
      </w:pPr>
      <w:r w:rsidRPr="00361530">
        <w:rPr>
          <w:bCs/>
          <w:color w:val="auto"/>
          <w:lang w:val="ru-RU"/>
        </w:rPr>
        <w:t>III</w:t>
      </w:r>
      <w:r w:rsidR="00361530" w:rsidRPr="00361530">
        <w:rPr>
          <w:bCs/>
          <w:color w:val="auto"/>
          <w:lang w:val="ru-RU"/>
        </w:rPr>
        <w:t xml:space="preserve">) 75 </w:t>
      </w:r>
      <w:proofErr w:type="spellStart"/>
      <w:r w:rsidR="00361530" w:rsidRPr="00361530">
        <w:rPr>
          <w:bCs/>
          <w:color w:val="auto"/>
          <w:lang w:val="ru-RU"/>
        </w:rPr>
        <w:t>мкл</w:t>
      </w:r>
      <w:proofErr w:type="spellEnd"/>
      <w:r w:rsidR="00361530" w:rsidRPr="00361530">
        <w:rPr>
          <w:bCs/>
          <w:color w:val="auto"/>
          <w:lang w:val="ru-RU"/>
        </w:rPr>
        <w:t xml:space="preserve"> неразбавленного образца сыворотки добавляется в лунку А2 и продолжается добавление в лунки рядов В, С и т.д. с другими образцами сыворотки.</w:t>
      </w:r>
    </w:p>
    <w:p w14:paraId="30705C5C" w14:textId="77777777" w:rsidR="00361530" w:rsidRPr="00361530" w:rsidRDefault="00AD0ADD" w:rsidP="000628A1">
      <w:pPr>
        <w:spacing w:after="0" w:line="240" w:lineRule="auto"/>
        <w:ind w:left="0" w:right="0" w:firstLine="567"/>
        <w:rPr>
          <w:bCs/>
          <w:color w:val="auto"/>
          <w:lang w:val="ru-RU"/>
        </w:rPr>
      </w:pPr>
      <w:r w:rsidRPr="00361530">
        <w:rPr>
          <w:bCs/>
          <w:color w:val="auto"/>
          <w:lang w:val="ru-RU"/>
        </w:rPr>
        <w:t>IV</w:t>
      </w:r>
      <w:r w:rsidR="00361530" w:rsidRPr="00361530">
        <w:rPr>
          <w:bCs/>
          <w:color w:val="auto"/>
          <w:lang w:val="ru-RU"/>
        </w:rPr>
        <w:t xml:space="preserve">) С помощью многоканальной пипетки содержимое лунок в колонке 2 перемешать, затем по 50 </w:t>
      </w:r>
      <w:proofErr w:type="spellStart"/>
      <w:r w:rsidR="00361530" w:rsidRPr="00361530">
        <w:rPr>
          <w:bCs/>
          <w:color w:val="auto"/>
          <w:lang w:val="ru-RU"/>
        </w:rPr>
        <w:t>мкл</w:t>
      </w:r>
      <w:proofErr w:type="spellEnd"/>
      <w:r w:rsidR="00361530" w:rsidRPr="00361530">
        <w:rPr>
          <w:bCs/>
          <w:color w:val="auto"/>
          <w:lang w:val="ru-RU"/>
        </w:rPr>
        <w:t xml:space="preserve"> перенести в колонку 1 и 3 и так далее в колонку 6 или далее в заданный ряд, используя те же насадки. Порции по 50 </w:t>
      </w:r>
      <w:proofErr w:type="spellStart"/>
      <w:r w:rsidR="00361530" w:rsidRPr="00361530">
        <w:rPr>
          <w:bCs/>
          <w:color w:val="auto"/>
          <w:lang w:val="ru-RU"/>
        </w:rPr>
        <w:t>мкл</w:t>
      </w:r>
      <w:proofErr w:type="spellEnd"/>
      <w:r w:rsidR="00361530" w:rsidRPr="00361530">
        <w:rPr>
          <w:bCs/>
          <w:color w:val="auto"/>
          <w:lang w:val="ru-RU"/>
        </w:rPr>
        <w:t>, оставшиеся после последнего ряда, отбраковать.</w:t>
      </w:r>
    </w:p>
    <w:p w14:paraId="619407B1" w14:textId="77777777" w:rsidR="00361530" w:rsidRPr="00361530" w:rsidRDefault="00AD0ADD" w:rsidP="000628A1">
      <w:pPr>
        <w:spacing w:after="0" w:line="240" w:lineRule="auto"/>
        <w:ind w:left="0" w:right="0" w:firstLine="567"/>
        <w:rPr>
          <w:bCs/>
          <w:color w:val="auto"/>
          <w:lang w:val="ru-RU"/>
        </w:rPr>
      </w:pPr>
      <w:r w:rsidRPr="00361530">
        <w:rPr>
          <w:bCs/>
          <w:color w:val="auto"/>
          <w:lang w:val="ru-RU"/>
        </w:rPr>
        <w:t>V</w:t>
      </w:r>
      <w:r w:rsidR="00361530" w:rsidRPr="00361530">
        <w:rPr>
          <w:bCs/>
          <w:color w:val="auto"/>
          <w:lang w:val="ru-RU"/>
        </w:rPr>
        <w:t xml:space="preserve">) 50 </w:t>
      </w:r>
      <w:proofErr w:type="spellStart"/>
      <w:r w:rsidR="00361530" w:rsidRPr="00361530">
        <w:rPr>
          <w:bCs/>
          <w:color w:val="auto"/>
          <w:lang w:val="ru-RU"/>
        </w:rPr>
        <w:t>мкл</w:t>
      </w:r>
      <w:proofErr w:type="spellEnd"/>
      <w:r w:rsidR="00361530" w:rsidRPr="00361530">
        <w:rPr>
          <w:bCs/>
          <w:color w:val="auto"/>
          <w:lang w:val="ru-RU"/>
        </w:rPr>
        <w:t xml:space="preserve"> вирусной суспензии, содержащей 100 TCID50 (или 2 × 103 TCID50/мл), полученной путем разбавления исходной вирусной суспензии известного титра MEM, добавляется в каждую лунку в столбцах 2–6. В лунки в колонке 1 вирус не добавляется, это контрольная колонка с образцами сыворотки.</w:t>
      </w:r>
    </w:p>
    <w:p w14:paraId="06F7FC14" w14:textId="77777777" w:rsidR="00361530" w:rsidRPr="00361530" w:rsidRDefault="00AD0ADD" w:rsidP="000628A1">
      <w:pPr>
        <w:spacing w:after="0" w:line="240" w:lineRule="auto"/>
        <w:ind w:left="0" w:right="0" w:firstLine="567"/>
        <w:rPr>
          <w:bCs/>
          <w:color w:val="auto"/>
          <w:lang w:val="ru-RU"/>
        </w:rPr>
      </w:pPr>
      <w:r w:rsidRPr="00361530">
        <w:rPr>
          <w:bCs/>
          <w:color w:val="auto"/>
          <w:lang w:val="ru-RU"/>
        </w:rPr>
        <w:t>VI</w:t>
      </w:r>
      <w:r w:rsidR="00361530" w:rsidRPr="00361530">
        <w:rPr>
          <w:bCs/>
          <w:color w:val="auto"/>
          <w:lang w:val="ru-RU"/>
        </w:rPr>
        <w:t>) Планшет встряхнуть и поместить в инкубатор на 1 час при температуре 37 °C (±2 °C) (дополнительно 5% CO</w:t>
      </w:r>
      <w:r w:rsidR="00361530" w:rsidRPr="005C4F78">
        <w:rPr>
          <w:bCs/>
          <w:color w:val="auto"/>
          <w:vertAlign w:val="subscript"/>
          <w:lang w:val="ru-RU"/>
        </w:rPr>
        <w:t>2</w:t>
      </w:r>
      <w:r w:rsidR="00361530" w:rsidRPr="00361530">
        <w:rPr>
          <w:bCs/>
          <w:color w:val="auto"/>
          <w:lang w:val="ru-RU"/>
        </w:rPr>
        <w:t>).</w:t>
      </w:r>
    </w:p>
    <w:p w14:paraId="728E3885" w14:textId="77777777" w:rsidR="00361530" w:rsidRPr="00361530" w:rsidRDefault="00AD0ADD" w:rsidP="000628A1">
      <w:pPr>
        <w:spacing w:after="0" w:line="240" w:lineRule="auto"/>
        <w:ind w:left="0" w:right="0" w:firstLine="567"/>
        <w:rPr>
          <w:bCs/>
          <w:color w:val="auto"/>
          <w:lang w:val="ru-RU"/>
        </w:rPr>
      </w:pPr>
      <w:r w:rsidRPr="00361530">
        <w:rPr>
          <w:bCs/>
          <w:color w:val="auto"/>
          <w:lang w:val="ru-RU"/>
        </w:rPr>
        <w:t>VII</w:t>
      </w:r>
      <w:r w:rsidR="00361530" w:rsidRPr="00361530">
        <w:rPr>
          <w:bCs/>
          <w:color w:val="auto"/>
          <w:lang w:val="ru-RU"/>
        </w:rPr>
        <w:t xml:space="preserve">) в каждую лунку добавить 150 </w:t>
      </w:r>
      <w:proofErr w:type="spellStart"/>
      <w:r w:rsidR="00361530" w:rsidRPr="00361530">
        <w:rPr>
          <w:bCs/>
          <w:color w:val="auto"/>
          <w:lang w:val="ru-RU"/>
        </w:rPr>
        <w:t>мкл</w:t>
      </w:r>
      <w:proofErr w:type="spellEnd"/>
      <w:r w:rsidR="00361530" w:rsidRPr="00361530">
        <w:rPr>
          <w:bCs/>
          <w:color w:val="auto"/>
          <w:lang w:val="ru-RU"/>
        </w:rPr>
        <w:t xml:space="preserve"> клеточной суспензии, содержащей около 150000 клеток/мл.</w:t>
      </w:r>
    </w:p>
    <w:p w14:paraId="551B3B6E" w14:textId="77777777" w:rsidR="00361530" w:rsidRPr="00361530" w:rsidRDefault="00AD0ADD" w:rsidP="000628A1">
      <w:pPr>
        <w:spacing w:after="0" w:line="240" w:lineRule="auto"/>
        <w:ind w:left="0" w:right="0" w:firstLine="567"/>
        <w:rPr>
          <w:bCs/>
          <w:color w:val="auto"/>
          <w:lang w:val="ru-RU"/>
        </w:rPr>
      </w:pPr>
      <w:r w:rsidRPr="00361530">
        <w:rPr>
          <w:bCs/>
          <w:color w:val="auto"/>
          <w:lang w:val="ru-RU"/>
        </w:rPr>
        <w:t>VIII</w:t>
      </w:r>
      <w:r w:rsidR="00361530" w:rsidRPr="00361530">
        <w:rPr>
          <w:bCs/>
          <w:color w:val="auto"/>
          <w:lang w:val="ru-RU"/>
        </w:rPr>
        <w:t>) Планшет накрыть (для инкубации в CO</w:t>
      </w:r>
      <w:r w:rsidR="00361530" w:rsidRPr="005C4F78">
        <w:rPr>
          <w:bCs/>
          <w:color w:val="auto"/>
          <w:vertAlign w:val="subscript"/>
          <w:lang w:val="ru-RU"/>
        </w:rPr>
        <w:t>2</w:t>
      </w:r>
      <w:r w:rsidR="00361530" w:rsidRPr="00361530">
        <w:rPr>
          <w:bCs/>
          <w:color w:val="auto"/>
          <w:lang w:val="ru-RU"/>
        </w:rPr>
        <w:t>) или тщательно запечатать пластиковым листом по краям планшета (для инкубации на воздухе). Планшет слегка встряхнуть, чтобы добиться равномерного распределения клеток на дне лунок, и поместить в инкубатор при температуре 37 °C (±2 °C) (дополнительно CO</w:t>
      </w:r>
      <w:r w:rsidR="00361530" w:rsidRPr="005C4F78">
        <w:rPr>
          <w:bCs/>
          <w:color w:val="auto"/>
          <w:vertAlign w:val="subscript"/>
          <w:lang w:val="ru-RU"/>
        </w:rPr>
        <w:t>2</w:t>
      </w:r>
      <w:r w:rsidR="00361530" w:rsidRPr="00361530">
        <w:rPr>
          <w:bCs/>
          <w:color w:val="auto"/>
          <w:lang w:val="ru-RU"/>
        </w:rPr>
        <w:t>) на 3–5 дней.</w:t>
      </w:r>
    </w:p>
    <w:p w14:paraId="10C3C135" w14:textId="77777777" w:rsidR="00361530" w:rsidRPr="00361530" w:rsidRDefault="00AD0ADD" w:rsidP="000628A1">
      <w:pPr>
        <w:spacing w:after="0" w:line="240" w:lineRule="auto"/>
        <w:ind w:left="0" w:right="0" w:firstLine="567"/>
        <w:rPr>
          <w:bCs/>
          <w:color w:val="auto"/>
          <w:lang w:val="ru-RU"/>
        </w:rPr>
      </w:pPr>
      <w:r w:rsidRPr="00361530">
        <w:rPr>
          <w:bCs/>
          <w:color w:val="auto"/>
          <w:lang w:val="ru-RU"/>
        </w:rPr>
        <w:t>IX</w:t>
      </w:r>
      <w:r w:rsidR="00361530" w:rsidRPr="00361530">
        <w:rPr>
          <w:bCs/>
          <w:color w:val="auto"/>
          <w:lang w:val="ru-RU"/>
        </w:rPr>
        <w:t>) Установить элементы управления, описанные для качественного метода.</w:t>
      </w:r>
    </w:p>
    <w:p w14:paraId="40D7C45A" w14:textId="77777777" w:rsidR="00361530" w:rsidRPr="00361530" w:rsidRDefault="00AD0ADD" w:rsidP="000628A1">
      <w:pPr>
        <w:spacing w:after="0" w:line="240" w:lineRule="auto"/>
        <w:ind w:left="0" w:right="0" w:firstLine="567"/>
        <w:rPr>
          <w:bCs/>
          <w:color w:val="auto"/>
          <w:lang w:val="ru-RU"/>
        </w:rPr>
      </w:pPr>
      <w:r w:rsidRPr="00361530">
        <w:rPr>
          <w:bCs/>
          <w:color w:val="auto"/>
          <w:lang w:val="ru-RU"/>
        </w:rPr>
        <w:t>X</w:t>
      </w:r>
      <w:r w:rsidR="00361530" w:rsidRPr="00361530">
        <w:rPr>
          <w:bCs/>
          <w:color w:val="auto"/>
          <w:lang w:val="ru-RU"/>
        </w:rPr>
        <w:t>) Считывание результатов: Нейтрализующий титр сыворотки выражается через знаменатель самого высокого начального разведения, при котором происходит полная нейтрализация ЦПЭ вируса в 50% лунок. Нейтрализация при любом разведении (даже неразбавленном, эквивалентном конечному разведению 1/2) считается положительной. Если сыворотка показывает нейтрализацию только в неразведенном виде (с ростом вируса и ЦПЭ при 1/2 и последующих разведениях), целесообразно применить альтернативные испытания (ИФА или латекс-агглютинацию) для подтверждения результата или запросить повторный отбор проб животного, по меньшей мере, через 8 дней после первого.</w:t>
      </w:r>
    </w:p>
    <w:p w14:paraId="30949015" w14:textId="77777777" w:rsidR="00361530" w:rsidRPr="00361530" w:rsidRDefault="00361530" w:rsidP="000628A1">
      <w:pPr>
        <w:spacing w:after="0" w:line="240" w:lineRule="auto"/>
        <w:ind w:left="0" w:right="0" w:firstLine="567"/>
        <w:rPr>
          <w:bCs/>
          <w:color w:val="auto"/>
          <w:lang w:val="ru-RU"/>
        </w:rPr>
      </w:pPr>
    </w:p>
    <w:p w14:paraId="4E6831DF" w14:textId="77777777" w:rsidR="00361530" w:rsidRDefault="00AD0ADD" w:rsidP="000628A1">
      <w:pPr>
        <w:spacing w:after="0" w:line="240" w:lineRule="auto"/>
        <w:ind w:left="0" w:right="0" w:firstLine="567"/>
        <w:rPr>
          <w:b/>
          <w:color w:val="auto"/>
          <w:lang w:val="ru-RU"/>
        </w:rPr>
      </w:pPr>
      <w:r>
        <w:rPr>
          <w:b/>
          <w:color w:val="auto"/>
          <w:lang w:val="ru-RU"/>
        </w:rPr>
        <w:t>3</w:t>
      </w:r>
      <w:r w:rsidR="00361530" w:rsidRPr="00AD0ADD">
        <w:rPr>
          <w:b/>
          <w:color w:val="auto"/>
          <w:lang w:val="ru-RU"/>
        </w:rPr>
        <w:t>.2 ИФА</w:t>
      </w:r>
    </w:p>
    <w:p w14:paraId="0E4E135A" w14:textId="77777777" w:rsidR="00AD0ADD" w:rsidRPr="00AD0ADD" w:rsidRDefault="00AD0ADD" w:rsidP="000628A1">
      <w:pPr>
        <w:spacing w:after="0" w:line="240" w:lineRule="auto"/>
        <w:ind w:left="0" w:right="0" w:firstLine="567"/>
        <w:rPr>
          <w:b/>
          <w:color w:val="auto"/>
          <w:lang w:val="ru-RU"/>
        </w:rPr>
      </w:pPr>
    </w:p>
    <w:p w14:paraId="64492747"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Чувствительность ИФА, как правило, выше, чем у испытания на НВ, использующего 1-часовую нейтрализацию без комплемента. Некоторые слабоположительные сыворотки легче обнаруживаются испытаниями на НВ с использованием 24-часовой нейтрализации, в то время как другие легче обнаруживаются с помощью ИФА.</w:t>
      </w:r>
    </w:p>
    <w:p w14:paraId="6574C8D9" w14:textId="77777777" w:rsidR="00361530" w:rsidRPr="00361530" w:rsidRDefault="00361530" w:rsidP="000628A1">
      <w:pPr>
        <w:spacing w:after="0" w:line="240" w:lineRule="auto"/>
        <w:ind w:left="0" w:right="0" w:firstLine="567"/>
        <w:rPr>
          <w:bCs/>
          <w:color w:val="auto"/>
          <w:lang w:val="ru-RU"/>
        </w:rPr>
      </w:pPr>
      <w:r w:rsidRPr="00361530">
        <w:rPr>
          <w:bCs/>
          <w:color w:val="auto"/>
          <w:lang w:val="ru-RU"/>
        </w:rPr>
        <w:t xml:space="preserve">Наборы ИФА, имеющиеся в продаже, используют непрямые или конкурентные методы для обнаружения антител. Они различаются способом приготовления антигена, </w:t>
      </w:r>
      <w:proofErr w:type="spellStart"/>
      <w:r w:rsidRPr="00361530">
        <w:rPr>
          <w:bCs/>
          <w:color w:val="auto"/>
          <w:lang w:val="ru-RU"/>
        </w:rPr>
        <w:t>конъюгата</w:t>
      </w:r>
      <w:proofErr w:type="spellEnd"/>
      <w:r w:rsidRPr="00361530">
        <w:rPr>
          <w:bCs/>
          <w:color w:val="auto"/>
          <w:lang w:val="ru-RU"/>
        </w:rPr>
        <w:t xml:space="preserve"> или субстрата, периодом инкубации и интерпретацией результатов. Их общее преимущество заключается в том, что они позволяют быстро обрабатывать большое количество образцов. Это также можно автоматизировать, а результаты анализировать с помощью компьютера. Некоторые из этих наборов позволяют отличить вакцинированных от естественно инфицированных животных при использовании «подходящей» вакцины</w:t>
      </w:r>
      <w:r w:rsidR="005C4F78">
        <w:rPr>
          <w:bCs/>
          <w:color w:val="auto"/>
          <w:lang w:val="ru-RU"/>
        </w:rPr>
        <w:t xml:space="preserve">. </w:t>
      </w:r>
      <w:r w:rsidRPr="00361530">
        <w:rPr>
          <w:bCs/>
          <w:color w:val="auto"/>
          <w:lang w:val="ru-RU"/>
        </w:rPr>
        <w:t xml:space="preserve">В качестве альтернативы могут быть приняты некоммерческие протоколы ИФА при условии, что они показывают положительную реакцию на международную стандартную эталонную сыворотку МЭБ при разведении 1/2 (минимальная чувствительность для целей международной торговли). Рекомендуется использовать набор или внутренний анализ, который был подтвержден на соответствие настоящему стандарту, или вторичный стандарт, подготовленный путем внешнего контроля качества в независимой лаборатории. </w:t>
      </w:r>
    </w:p>
    <w:p w14:paraId="4C4A28EA" w14:textId="77777777" w:rsidR="00361530" w:rsidRPr="00AD0ADD" w:rsidRDefault="00AD0ADD" w:rsidP="000628A1">
      <w:pPr>
        <w:spacing w:after="0" w:line="240" w:lineRule="auto"/>
        <w:ind w:left="0" w:right="0" w:firstLine="567"/>
        <w:rPr>
          <w:b/>
          <w:color w:val="auto"/>
          <w:lang w:val="ru-RU"/>
        </w:rPr>
      </w:pPr>
      <w:r w:rsidRPr="00AD0ADD">
        <w:rPr>
          <w:b/>
          <w:color w:val="auto"/>
          <w:lang w:val="ru-RU"/>
        </w:rPr>
        <w:lastRenderedPageBreak/>
        <w:t>3</w:t>
      </w:r>
      <w:r w:rsidR="00361530" w:rsidRPr="00AD0ADD">
        <w:rPr>
          <w:b/>
          <w:color w:val="auto"/>
          <w:lang w:val="ru-RU"/>
        </w:rPr>
        <w:t>.2.1 Приготовление антигена</w:t>
      </w:r>
    </w:p>
    <w:p w14:paraId="54106B0E" w14:textId="77777777" w:rsidR="000628A1" w:rsidRPr="00361530" w:rsidRDefault="000628A1" w:rsidP="000628A1">
      <w:pPr>
        <w:spacing w:after="0" w:line="240" w:lineRule="auto"/>
        <w:ind w:left="0" w:right="0" w:firstLine="567"/>
        <w:rPr>
          <w:bCs/>
          <w:color w:val="auto"/>
          <w:lang w:val="ru-RU"/>
        </w:rPr>
      </w:pPr>
    </w:p>
    <w:p w14:paraId="14E7CDF5" w14:textId="77777777" w:rsidR="00361530" w:rsidRPr="00361530" w:rsidRDefault="000628A1" w:rsidP="000628A1">
      <w:pPr>
        <w:spacing w:after="0" w:line="240" w:lineRule="auto"/>
        <w:ind w:left="0" w:right="0" w:firstLine="567"/>
        <w:rPr>
          <w:bCs/>
          <w:color w:val="auto"/>
          <w:lang w:val="ru-RU"/>
        </w:rPr>
      </w:pPr>
      <w:r w:rsidRPr="00361530">
        <w:rPr>
          <w:bCs/>
          <w:color w:val="auto"/>
          <w:lang w:val="ru-RU"/>
        </w:rPr>
        <w:t>I</w:t>
      </w:r>
      <w:r w:rsidR="00361530" w:rsidRPr="00361530">
        <w:rPr>
          <w:bCs/>
          <w:color w:val="auto"/>
          <w:lang w:val="ru-RU"/>
        </w:rPr>
        <w:t>) Используется клеточная линия, чувствительная к SHV-1, такая как PK-15 или семенники плода свиньи. Они не должны содержать посторонних вирусов, таких как вирус вирусной диареи крупного рогатого скота. Клетки должны быть разделены и высеяны в свежие колбы объемом 75 см</w:t>
      </w:r>
      <w:r w:rsidR="00361530" w:rsidRPr="000628A1">
        <w:rPr>
          <w:bCs/>
          <w:color w:val="auto"/>
          <w:vertAlign w:val="superscript"/>
          <w:lang w:val="ru-RU"/>
        </w:rPr>
        <w:t xml:space="preserve">2 </w:t>
      </w:r>
      <w:r w:rsidR="00361530" w:rsidRPr="00361530">
        <w:rPr>
          <w:bCs/>
          <w:color w:val="auto"/>
          <w:lang w:val="ru-RU"/>
        </w:rPr>
        <w:t>за день до инокуляции. Для покрытия культур используется подходящая среда, такая как MEM, без сыворотки.</w:t>
      </w:r>
    </w:p>
    <w:p w14:paraId="1BD4E9A0" w14:textId="77777777" w:rsidR="00361530" w:rsidRPr="00361530" w:rsidRDefault="000628A1" w:rsidP="000628A1">
      <w:pPr>
        <w:spacing w:after="0" w:line="240" w:lineRule="auto"/>
        <w:ind w:left="0" w:right="0" w:firstLine="567"/>
        <w:rPr>
          <w:bCs/>
          <w:color w:val="auto"/>
          <w:lang w:val="ru-RU"/>
        </w:rPr>
      </w:pPr>
      <w:r w:rsidRPr="00361530">
        <w:rPr>
          <w:bCs/>
          <w:color w:val="auto"/>
          <w:lang w:val="ru-RU"/>
        </w:rPr>
        <w:t>II</w:t>
      </w:r>
      <w:r w:rsidR="00361530" w:rsidRPr="00361530">
        <w:rPr>
          <w:bCs/>
          <w:color w:val="auto"/>
          <w:lang w:val="ru-RU"/>
        </w:rPr>
        <w:t xml:space="preserve">) </w:t>
      </w:r>
      <w:proofErr w:type="spellStart"/>
      <w:r w:rsidR="00361530" w:rsidRPr="00361530">
        <w:rPr>
          <w:bCs/>
          <w:color w:val="auto"/>
          <w:lang w:val="ru-RU"/>
        </w:rPr>
        <w:t>Инокулированные</w:t>
      </w:r>
      <w:proofErr w:type="spellEnd"/>
      <w:r w:rsidR="00361530" w:rsidRPr="00361530">
        <w:rPr>
          <w:bCs/>
          <w:color w:val="auto"/>
          <w:lang w:val="ru-RU"/>
        </w:rPr>
        <w:t xml:space="preserve"> вирусом и контрольные незасеянные колбы обрабатываются параллельно. Используется подходящий хорошо охарактеризованный штамм SHV-1, т.е. Штамм </w:t>
      </w:r>
      <w:proofErr w:type="spellStart"/>
      <w:r w:rsidR="00361530" w:rsidRPr="00361530">
        <w:rPr>
          <w:bCs/>
          <w:color w:val="auto"/>
          <w:lang w:val="ru-RU"/>
        </w:rPr>
        <w:t>Койнок</w:t>
      </w:r>
      <w:proofErr w:type="spellEnd"/>
      <w:r w:rsidR="00361530" w:rsidRPr="00361530">
        <w:rPr>
          <w:bCs/>
          <w:color w:val="auto"/>
          <w:lang w:val="ru-RU"/>
        </w:rPr>
        <w:t xml:space="preserve">. Когда образуется сливающийся монослой клеток (примерно через 24 часа после посева), его </w:t>
      </w:r>
      <w:proofErr w:type="spellStart"/>
      <w:r w:rsidR="00361530" w:rsidRPr="00361530">
        <w:rPr>
          <w:bCs/>
          <w:color w:val="auto"/>
          <w:lang w:val="ru-RU"/>
        </w:rPr>
        <w:t>инокулируют</w:t>
      </w:r>
      <w:proofErr w:type="spellEnd"/>
      <w:r w:rsidR="00361530" w:rsidRPr="00361530">
        <w:rPr>
          <w:bCs/>
          <w:color w:val="auto"/>
          <w:lang w:val="ru-RU"/>
        </w:rPr>
        <w:t xml:space="preserve"> 108 TCID50 SHV-1 в 5 мл среды; и 5 мл среды (без вируса) помещают в контрольные колбы. Культуры оставляются для адсорбции на 30 минут при температуре 37 °С, а затем покрываются 20 мл среды.</w:t>
      </w:r>
    </w:p>
    <w:p w14:paraId="52136CC0" w14:textId="77777777" w:rsidR="00361530" w:rsidRPr="00361530" w:rsidRDefault="000628A1" w:rsidP="000628A1">
      <w:pPr>
        <w:spacing w:after="0" w:line="240" w:lineRule="auto"/>
        <w:ind w:left="0" w:right="0" w:firstLine="567"/>
        <w:rPr>
          <w:bCs/>
          <w:color w:val="auto"/>
          <w:lang w:val="ru-RU"/>
        </w:rPr>
      </w:pPr>
      <w:r w:rsidRPr="00361530">
        <w:rPr>
          <w:bCs/>
          <w:color w:val="auto"/>
          <w:lang w:val="ru-RU"/>
        </w:rPr>
        <w:t>III</w:t>
      </w:r>
      <w:r w:rsidR="00361530" w:rsidRPr="00361530">
        <w:rPr>
          <w:bCs/>
          <w:color w:val="auto"/>
          <w:lang w:val="ru-RU"/>
        </w:rPr>
        <w:t xml:space="preserve">) Когда ЦПЭ только начинается, </w:t>
      </w:r>
      <w:proofErr w:type="spellStart"/>
      <w:r w:rsidR="00361530" w:rsidRPr="00361530">
        <w:rPr>
          <w:bCs/>
          <w:color w:val="auto"/>
          <w:lang w:val="ru-RU"/>
        </w:rPr>
        <w:t>надосадочную</w:t>
      </w:r>
      <w:proofErr w:type="spellEnd"/>
      <w:r w:rsidR="00361530" w:rsidRPr="00361530">
        <w:rPr>
          <w:bCs/>
          <w:color w:val="auto"/>
          <w:lang w:val="ru-RU"/>
        </w:rPr>
        <w:t xml:space="preserve"> среду следует удалить и добавить 4 мл </w:t>
      </w:r>
      <w:proofErr w:type="spellStart"/>
      <w:r w:rsidR="00361530" w:rsidRPr="00361530">
        <w:rPr>
          <w:bCs/>
          <w:color w:val="auto"/>
          <w:lang w:val="ru-RU"/>
        </w:rPr>
        <w:t>KCl</w:t>
      </w:r>
      <w:proofErr w:type="spellEnd"/>
      <w:r w:rsidR="00361530" w:rsidRPr="00361530">
        <w:rPr>
          <w:bCs/>
          <w:color w:val="auto"/>
          <w:lang w:val="ru-RU"/>
        </w:rPr>
        <w:t xml:space="preserve"> (4 </w:t>
      </w:r>
      <w:proofErr w:type="spellStart"/>
      <w:r w:rsidR="00361530" w:rsidRPr="00361530">
        <w:rPr>
          <w:bCs/>
          <w:color w:val="auto"/>
          <w:lang w:val="ru-RU"/>
        </w:rPr>
        <w:t>мМ</w:t>
      </w:r>
      <w:proofErr w:type="spellEnd"/>
      <w:r w:rsidR="00361530" w:rsidRPr="00361530">
        <w:rPr>
          <w:bCs/>
          <w:color w:val="auto"/>
          <w:lang w:val="ru-RU"/>
        </w:rPr>
        <w:t xml:space="preserve"> раствор) и стеклянные шарики. Колбы осторожно встряхнуть для отделения клеток.</w:t>
      </w:r>
    </w:p>
    <w:p w14:paraId="4E3FE27B" w14:textId="77777777" w:rsidR="00361530" w:rsidRPr="00361530" w:rsidRDefault="000628A1" w:rsidP="000628A1">
      <w:pPr>
        <w:spacing w:after="0" w:line="240" w:lineRule="auto"/>
        <w:ind w:left="0" w:right="0" w:firstLine="567"/>
        <w:rPr>
          <w:bCs/>
          <w:color w:val="auto"/>
          <w:lang w:val="ru-RU"/>
        </w:rPr>
      </w:pPr>
      <w:r w:rsidRPr="00361530">
        <w:rPr>
          <w:bCs/>
          <w:color w:val="auto"/>
          <w:lang w:val="ru-RU"/>
        </w:rPr>
        <w:t>IV</w:t>
      </w:r>
      <w:r w:rsidR="00361530" w:rsidRPr="00361530">
        <w:rPr>
          <w:bCs/>
          <w:color w:val="auto"/>
          <w:lang w:val="ru-RU"/>
        </w:rPr>
        <w:t xml:space="preserve">) Клетки промывают центрифугированием три раза при 770 g в 4 </w:t>
      </w:r>
      <w:proofErr w:type="spellStart"/>
      <w:r w:rsidR="00361530" w:rsidRPr="00361530">
        <w:rPr>
          <w:bCs/>
          <w:color w:val="auto"/>
          <w:lang w:val="ru-RU"/>
        </w:rPr>
        <w:t>мМ</w:t>
      </w:r>
      <w:proofErr w:type="spellEnd"/>
      <w:r w:rsidR="00361530" w:rsidRPr="00361530">
        <w:rPr>
          <w:bCs/>
          <w:color w:val="auto"/>
          <w:lang w:val="ru-RU"/>
        </w:rPr>
        <w:t xml:space="preserve"> </w:t>
      </w:r>
      <w:proofErr w:type="spellStart"/>
      <w:r w:rsidR="00361530" w:rsidRPr="00361530">
        <w:rPr>
          <w:bCs/>
          <w:color w:val="auto"/>
          <w:lang w:val="ru-RU"/>
        </w:rPr>
        <w:t>KCl</w:t>
      </w:r>
      <w:proofErr w:type="spellEnd"/>
      <w:r w:rsidR="00361530" w:rsidRPr="00361530">
        <w:rPr>
          <w:bCs/>
          <w:color w:val="auto"/>
          <w:lang w:val="ru-RU"/>
        </w:rPr>
        <w:t xml:space="preserve">. Осадок </w:t>
      </w:r>
      <w:proofErr w:type="spellStart"/>
      <w:r w:rsidR="00361530" w:rsidRPr="00361530">
        <w:rPr>
          <w:bCs/>
          <w:color w:val="auto"/>
          <w:lang w:val="ru-RU"/>
        </w:rPr>
        <w:t>ресуспендируют</w:t>
      </w:r>
      <w:proofErr w:type="spellEnd"/>
      <w:r w:rsidR="00361530" w:rsidRPr="00361530">
        <w:rPr>
          <w:bCs/>
          <w:color w:val="auto"/>
          <w:lang w:val="ru-RU"/>
        </w:rPr>
        <w:t xml:space="preserve"> в 4 </w:t>
      </w:r>
      <w:proofErr w:type="spellStart"/>
      <w:r w:rsidR="00361530" w:rsidRPr="00361530">
        <w:rPr>
          <w:bCs/>
          <w:color w:val="auto"/>
          <w:lang w:val="ru-RU"/>
        </w:rPr>
        <w:t>мМ</w:t>
      </w:r>
      <w:proofErr w:type="spellEnd"/>
      <w:r w:rsidR="00361530" w:rsidRPr="00361530">
        <w:rPr>
          <w:bCs/>
          <w:color w:val="auto"/>
          <w:lang w:val="ru-RU"/>
        </w:rPr>
        <w:t xml:space="preserve"> </w:t>
      </w:r>
      <w:proofErr w:type="spellStart"/>
      <w:r w:rsidR="00361530" w:rsidRPr="00361530">
        <w:rPr>
          <w:bCs/>
          <w:color w:val="auto"/>
          <w:lang w:val="ru-RU"/>
        </w:rPr>
        <w:t>KCl</w:t>
      </w:r>
      <w:proofErr w:type="spellEnd"/>
      <w:r w:rsidR="00361530" w:rsidRPr="00361530">
        <w:rPr>
          <w:bCs/>
          <w:color w:val="auto"/>
          <w:lang w:val="ru-RU"/>
        </w:rPr>
        <w:t xml:space="preserve"> с 0,2% </w:t>
      </w:r>
      <w:proofErr w:type="spellStart"/>
      <w:r w:rsidR="00361530" w:rsidRPr="00361530">
        <w:rPr>
          <w:bCs/>
          <w:color w:val="auto"/>
          <w:lang w:val="ru-RU"/>
        </w:rPr>
        <w:t>Triton</w:t>
      </w:r>
      <w:proofErr w:type="spellEnd"/>
      <w:r w:rsidR="00361530" w:rsidRPr="00361530">
        <w:rPr>
          <w:bCs/>
          <w:color w:val="auto"/>
          <w:lang w:val="ru-RU"/>
        </w:rPr>
        <w:t xml:space="preserve"> X-100 (1 мл на колбу), нанеся 60 ударов стеклянным гомогенизатором.</w:t>
      </w:r>
    </w:p>
    <w:p w14:paraId="03E075A2" w14:textId="77777777" w:rsidR="00361530" w:rsidRPr="00361530" w:rsidRDefault="000628A1" w:rsidP="000628A1">
      <w:pPr>
        <w:spacing w:after="0" w:line="240" w:lineRule="auto"/>
        <w:ind w:left="0" w:right="0" w:firstLine="567"/>
        <w:rPr>
          <w:bCs/>
          <w:color w:val="auto"/>
          <w:lang w:val="ru-RU"/>
        </w:rPr>
      </w:pPr>
      <w:r w:rsidRPr="00361530">
        <w:rPr>
          <w:bCs/>
          <w:color w:val="auto"/>
          <w:lang w:val="ru-RU"/>
        </w:rPr>
        <w:t>V</w:t>
      </w:r>
      <w:r w:rsidR="00361530" w:rsidRPr="00361530">
        <w:rPr>
          <w:bCs/>
          <w:color w:val="auto"/>
          <w:lang w:val="ru-RU"/>
        </w:rPr>
        <w:t xml:space="preserve">) </w:t>
      </w:r>
      <w:proofErr w:type="spellStart"/>
      <w:r w:rsidR="00361530" w:rsidRPr="00361530">
        <w:rPr>
          <w:bCs/>
          <w:color w:val="auto"/>
          <w:lang w:val="ru-RU"/>
        </w:rPr>
        <w:t>Гомогенат</w:t>
      </w:r>
      <w:proofErr w:type="spellEnd"/>
      <w:r w:rsidR="00361530" w:rsidRPr="00361530">
        <w:rPr>
          <w:bCs/>
          <w:color w:val="auto"/>
          <w:lang w:val="ru-RU"/>
        </w:rPr>
        <w:t xml:space="preserve"> клеток наслаивают на 0,25 </w:t>
      </w:r>
      <w:proofErr w:type="spellStart"/>
      <w:r w:rsidR="00361530" w:rsidRPr="00361530">
        <w:rPr>
          <w:bCs/>
          <w:color w:val="auto"/>
          <w:lang w:val="ru-RU"/>
        </w:rPr>
        <w:t>мМ</w:t>
      </w:r>
      <w:proofErr w:type="spellEnd"/>
      <w:r w:rsidR="00361530" w:rsidRPr="00361530">
        <w:rPr>
          <w:bCs/>
          <w:color w:val="auto"/>
          <w:lang w:val="ru-RU"/>
        </w:rPr>
        <w:t xml:space="preserve"> сахарозы в 4 </w:t>
      </w:r>
      <w:proofErr w:type="spellStart"/>
      <w:r w:rsidR="00361530" w:rsidRPr="00361530">
        <w:rPr>
          <w:bCs/>
          <w:color w:val="auto"/>
          <w:lang w:val="ru-RU"/>
        </w:rPr>
        <w:t>мМ</w:t>
      </w:r>
      <w:proofErr w:type="spellEnd"/>
      <w:r w:rsidR="00361530" w:rsidRPr="00361530">
        <w:rPr>
          <w:bCs/>
          <w:color w:val="auto"/>
          <w:lang w:val="ru-RU"/>
        </w:rPr>
        <w:t xml:space="preserve"> </w:t>
      </w:r>
      <w:proofErr w:type="spellStart"/>
      <w:r w:rsidR="00361530" w:rsidRPr="00361530">
        <w:rPr>
          <w:bCs/>
          <w:color w:val="auto"/>
          <w:lang w:val="ru-RU"/>
        </w:rPr>
        <w:t>KCl</w:t>
      </w:r>
      <w:proofErr w:type="spellEnd"/>
      <w:r w:rsidR="00361530" w:rsidRPr="00361530">
        <w:rPr>
          <w:bCs/>
          <w:color w:val="auto"/>
          <w:lang w:val="ru-RU"/>
        </w:rPr>
        <w:t xml:space="preserve"> и центрифугируют в течение 10 минут при 770 g.</w:t>
      </w:r>
    </w:p>
    <w:p w14:paraId="550D7F5F" w14:textId="77777777" w:rsidR="00361530" w:rsidRPr="00361530" w:rsidRDefault="000628A1" w:rsidP="000628A1">
      <w:pPr>
        <w:spacing w:after="0" w:line="240" w:lineRule="auto"/>
        <w:ind w:left="0" w:right="0" w:firstLine="567"/>
        <w:rPr>
          <w:bCs/>
          <w:color w:val="auto"/>
          <w:lang w:val="ru-RU"/>
        </w:rPr>
      </w:pPr>
      <w:r w:rsidRPr="00361530">
        <w:rPr>
          <w:bCs/>
          <w:color w:val="auto"/>
          <w:lang w:val="ru-RU"/>
        </w:rPr>
        <w:t>VI</w:t>
      </w:r>
      <w:r w:rsidR="00361530" w:rsidRPr="00361530">
        <w:rPr>
          <w:bCs/>
          <w:color w:val="auto"/>
          <w:lang w:val="ru-RU"/>
        </w:rPr>
        <w:t xml:space="preserve">) Осадок </w:t>
      </w:r>
      <w:proofErr w:type="spellStart"/>
      <w:r w:rsidR="00361530" w:rsidRPr="00361530">
        <w:rPr>
          <w:bCs/>
          <w:color w:val="auto"/>
          <w:lang w:val="ru-RU"/>
        </w:rPr>
        <w:t>ресуспендируют</w:t>
      </w:r>
      <w:proofErr w:type="spellEnd"/>
      <w:r w:rsidR="00361530" w:rsidRPr="00361530">
        <w:rPr>
          <w:bCs/>
          <w:color w:val="auto"/>
          <w:lang w:val="ru-RU"/>
        </w:rPr>
        <w:t xml:space="preserve"> в буфере, разбавляющем антиген, рН 9,6 (0,1 М </w:t>
      </w:r>
      <w:proofErr w:type="spellStart"/>
      <w:r w:rsidR="00361530" w:rsidRPr="00361530">
        <w:rPr>
          <w:bCs/>
          <w:color w:val="auto"/>
          <w:lang w:val="ru-RU"/>
        </w:rPr>
        <w:t>Трис</w:t>
      </w:r>
      <w:proofErr w:type="spellEnd"/>
      <w:r w:rsidR="00361530" w:rsidRPr="00361530">
        <w:rPr>
          <w:bCs/>
          <w:color w:val="auto"/>
          <w:lang w:val="ru-RU"/>
        </w:rPr>
        <w:t xml:space="preserve">, 2 </w:t>
      </w:r>
      <w:proofErr w:type="spellStart"/>
      <w:r w:rsidR="00361530" w:rsidRPr="00361530">
        <w:rPr>
          <w:bCs/>
          <w:color w:val="auto"/>
          <w:lang w:val="ru-RU"/>
        </w:rPr>
        <w:t>мМ</w:t>
      </w:r>
      <w:proofErr w:type="spellEnd"/>
      <w:r w:rsidR="00361530" w:rsidRPr="00361530">
        <w:rPr>
          <w:bCs/>
          <w:color w:val="auto"/>
          <w:lang w:val="ru-RU"/>
        </w:rPr>
        <w:t xml:space="preserve"> ЭДТА, 0,15 </w:t>
      </w:r>
      <w:proofErr w:type="spellStart"/>
      <w:r w:rsidR="00361530" w:rsidRPr="00361530">
        <w:rPr>
          <w:bCs/>
          <w:color w:val="auto"/>
          <w:lang w:val="ru-RU"/>
        </w:rPr>
        <w:t>мМ</w:t>
      </w:r>
      <w:proofErr w:type="spellEnd"/>
      <w:r w:rsidR="00361530" w:rsidRPr="00361530">
        <w:rPr>
          <w:bCs/>
          <w:color w:val="auto"/>
          <w:lang w:val="ru-RU"/>
        </w:rPr>
        <w:t xml:space="preserve"> </w:t>
      </w:r>
      <w:proofErr w:type="spellStart"/>
      <w:r w:rsidR="00361530" w:rsidRPr="00361530">
        <w:rPr>
          <w:bCs/>
          <w:color w:val="auto"/>
          <w:lang w:val="ru-RU"/>
        </w:rPr>
        <w:t>NaCl</w:t>
      </w:r>
      <w:proofErr w:type="spellEnd"/>
      <w:r w:rsidR="00361530" w:rsidRPr="00361530">
        <w:rPr>
          <w:bCs/>
          <w:color w:val="auto"/>
          <w:lang w:val="ru-RU"/>
        </w:rPr>
        <w:t xml:space="preserve">) в количестве 1/50 от объема исходной </w:t>
      </w:r>
      <w:proofErr w:type="spellStart"/>
      <w:r w:rsidR="00361530" w:rsidRPr="00361530">
        <w:rPr>
          <w:bCs/>
          <w:color w:val="auto"/>
          <w:lang w:val="ru-RU"/>
        </w:rPr>
        <w:t>культуральной</w:t>
      </w:r>
      <w:proofErr w:type="spellEnd"/>
      <w:r w:rsidR="00361530" w:rsidRPr="00361530">
        <w:rPr>
          <w:bCs/>
          <w:color w:val="auto"/>
          <w:lang w:val="ru-RU"/>
        </w:rPr>
        <w:t xml:space="preserve"> среды. Затем его можно хранить небольшими </w:t>
      </w:r>
      <w:proofErr w:type="spellStart"/>
      <w:r w:rsidR="00361530" w:rsidRPr="00361530">
        <w:rPr>
          <w:bCs/>
          <w:color w:val="auto"/>
          <w:lang w:val="ru-RU"/>
        </w:rPr>
        <w:t>аликвотами</w:t>
      </w:r>
      <w:proofErr w:type="spellEnd"/>
      <w:r w:rsidR="00361530" w:rsidRPr="00361530">
        <w:rPr>
          <w:bCs/>
          <w:color w:val="auto"/>
          <w:lang w:val="ru-RU"/>
        </w:rPr>
        <w:t xml:space="preserve"> при температуре - 70°C. Антиген стабилен в такой форме в течение 2 лет.</w:t>
      </w:r>
    </w:p>
    <w:p w14:paraId="01DC5035" w14:textId="77777777" w:rsidR="00361530" w:rsidRPr="00361530" w:rsidRDefault="00361530" w:rsidP="000628A1">
      <w:pPr>
        <w:spacing w:after="0" w:line="240" w:lineRule="auto"/>
        <w:ind w:left="0" w:right="0" w:firstLine="567"/>
        <w:rPr>
          <w:bCs/>
          <w:color w:val="auto"/>
          <w:lang w:val="ru-RU"/>
        </w:rPr>
      </w:pPr>
    </w:p>
    <w:p w14:paraId="7BFDBBEB" w14:textId="77777777" w:rsidR="00361530" w:rsidRPr="00AD0ADD" w:rsidRDefault="00AD0ADD" w:rsidP="000628A1">
      <w:pPr>
        <w:spacing w:after="0" w:line="240" w:lineRule="auto"/>
        <w:ind w:left="0" w:right="0" w:firstLine="567"/>
        <w:rPr>
          <w:b/>
          <w:color w:val="auto"/>
          <w:lang w:val="ru-RU"/>
        </w:rPr>
      </w:pPr>
      <w:r w:rsidRPr="00AD0ADD">
        <w:rPr>
          <w:b/>
          <w:color w:val="auto"/>
          <w:lang w:val="ru-RU"/>
        </w:rPr>
        <w:t>3</w:t>
      </w:r>
      <w:r w:rsidR="00361530" w:rsidRPr="00AD0ADD">
        <w:rPr>
          <w:b/>
          <w:color w:val="auto"/>
          <w:lang w:val="ru-RU"/>
        </w:rPr>
        <w:t xml:space="preserve">.2.2 </w:t>
      </w:r>
      <w:proofErr w:type="spellStart"/>
      <w:r w:rsidR="00361530" w:rsidRPr="00AD0ADD">
        <w:rPr>
          <w:b/>
          <w:color w:val="auto"/>
          <w:lang w:val="ru-RU"/>
        </w:rPr>
        <w:t>Микротитрационный</w:t>
      </w:r>
      <w:proofErr w:type="spellEnd"/>
      <w:r w:rsidR="00361530" w:rsidRPr="00AD0ADD">
        <w:rPr>
          <w:b/>
          <w:color w:val="auto"/>
          <w:lang w:val="ru-RU"/>
        </w:rPr>
        <w:t xml:space="preserve"> планшет для покрытия</w:t>
      </w:r>
    </w:p>
    <w:p w14:paraId="501F2F31" w14:textId="77777777" w:rsidR="00AD0ADD" w:rsidRPr="00361530" w:rsidRDefault="00AD0ADD" w:rsidP="000628A1">
      <w:pPr>
        <w:spacing w:after="0" w:line="240" w:lineRule="auto"/>
        <w:ind w:left="0" w:right="0" w:firstLine="567"/>
        <w:rPr>
          <w:bCs/>
          <w:color w:val="auto"/>
          <w:lang w:val="ru-RU"/>
        </w:rPr>
      </w:pPr>
    </w:p>
    <w:p w14:paraId="57624F47" w14:textId="77777777" w:rsidR="00361530" w:rsidRPr="00361530" w:rsidRDefault="00AD0ADD" w:rsidP="000628A1">
      <w:pPr>
        <w:spacing w:after="0" w:line="240" w:lineRule="auto"/>
        <w:ind w:left="0" w:right="0" w:firstLine="567"/>
        <w:rPr>
          <w:bCs/>
          <w:color w:val="auto"/>
          <w:lang w:val="ru-RU"/>
        </w:rPr>
      </w:pPr>
      <w:r w:rsidRPr="00361530">
        <w:rPr>
          <w:bCs/>
          <w:color w:val="auto"/>
          <w:lang w:val="ru-RU"/>
        </w:rPr>
        <w:t>I</w:t>
      </w:r>
      <w:r w:rsidR="00361530" w:rsidRPr="00361530">
        <w:rPr>
          <w:bCs/>
          <w:color w:val="auto"/>
          <w:lang w:val="ru-RU"/>
        </w:rPr>
        <w:t>) Вирусный антиген и контрольный (без вируса) антиген разбавляется в буфере для разбавления, pH 9,6 (см. выше) до разбавления, заранее определенного при титровании в шахматном порядке.</w:t>
      </w:r>
    </w:p>
    <w:p w14:paraId="718846E2" w14:textId="77777777" w:rsidR="00361530" w:rsidRPr="00361530" w:rsidRDefault="00AD0ADD" w:rsidP="000628A1">
      <w:pPr>
        <w:spacing w:after="0" w:line="240" w:lineRule="auto"/>
        <w:ind w:left="0" w:right="0" w:firstLine="567"/>
        <w:rPr>
          <w:bCs/>
          <w:color w:val="auto"/>
          <w:lang w:val="ru-RU"/>
        </w:rPr>
      </w:pPr>
      <w:r w:rsidRPr="00361530">
        <w:rPr>
          <w:bCs/>
          <w:color w:val="auto"/>
          <w:lang w:val="ru-RU"/>
        </w:rPr>
        <w:t>II</w:t>
      </w:r>
      <w:r w:rsidR="00361530" w:rsidRPr="00361530">
        <w:rPr>
          <w:bCs/>
          <w:color w:val="auto"/>
          <w:lang w:val="ru-RU"/>
        </w:rPr>
        <w:t xml:space="preserve">) 200 </w:t>
      </w:r>
      <w:proofErr w:type="spellStart"/>
      <w:r w:rsidR="00361530" w:rsidRPr="00361530">
        <w:rPr>
          <w:bCs/>
          <w:color w:val="auto"/>
          <w:lang w:val="ru-RU"/>
        </w:rPr>
        <w:t>мкл</w:t>
      </w:r>
      <w:proofErr w:type="spellEnd"/>
      <w:r w:rsidR="00361530" w:rsidRPr="00361530">
        <w:rPr>
          <w:bCs/>
          <w:color w:val="auto"/>
          <w:lang w:val="ru-RU"/>
        </w:rPr>
        <w:t xml:space="preserve"> антигена внести в каждую лунку 96-луночных планшетов для ИФА, покрывая чередующиеся ряды SHV-1-положительным и контрольным антигеном. Инкубация 18 часов при 4 °С.</w:t>
      </w:r>
    </w:p>
    <w:p w14:paraId="1414421E" w14:textId="77777777" w:rsidR="00361530" w:rsidRPr="00361530" w:rsidRDefault="00AD0ADD" w:rsidP="000628A1">
      <w:pPr>
        <w:spacing w:after="0" w:line="240" w:lineRule="auto"/>
        <w:ind w:left="0" w:right="0" w:firstLine="567"/>
        <w:rPr>
          <w:bCs/>
          <w:color w:val="auto"/>
          <w:lang w:val="ru-RU"/>
        </w:rPr>
      </w:pPr>
      <w:r w:rsidRPr="00361530">
        <w:rPr>
          <w:bCs/>
          <w:color w:val="auto"/>
          <w:lang w:val="ru-RU"/>
        </w:rPr>
        <w:t>III</w:t>
      </w:r>
      <w:r w:rsidR="00361530" w:rsidRPr="00361530">
        <w:rPr>
          <w:bCs/>
          <w:color w:val="auto"/>
          <w:lang w:val="ru-RU"/>
        </w:rPr>
        <w:t>) Планшеты трижды промывать промывочным раствором (</w:t>
      </w:r>
      <w:proofErr w:type="spellStart"/>
      <w:r w:rsidR="00361530" w:rsidRPr="00361530">
        <w:rPr>
          <w:bCs/>
          <w:color w:val="auto"/>
          <w:lang w:val="ru-RU"/>
        </w:rPr>
        <w:t>Tween</w:t>
      </w:r>
      <w:proofErr w:type="spellEnd"/>
      <w:r w:rsidR="00361530" w:rsidRPr="00361530">
        <w:rPr>
          <w:bCs/>
          <w:color w:val="auto"/>
          <w:lang w:val="ru-RU"/>
        </w:rPr>
        <w:t xml:space="preserve"> 20, 0,5 мл/л).</w:t>
      </w:r>
    </w:p>
    <w:p w14:paraId="68392FAB" w14:textId="77777777" w:rsidR="00361530" w:rsidRPr="00361530" w:rsidRDefault="00AD0ADD" w:rsidP="000628A1">
      <w:pPr>
        <w:spacing w:after="0" w:line="240" w:lineRule="auto"/>
        <w:ind w:left="0" w:right="0" w:firstLine="567"/>
        <w:rPr>
          <w:bCs/>
          <w:color w:val="auto"/>
          <w:lang w:val="ru-RU"/>
        </w:rPr>
      </w:pPr>
      <w:r w:rsidRPr="00361530">
        <w:rPr>
          <w:bCs/>
          <w:color w:val="auto"/>
          <w:lang w:val="ru-RU"/>
        </w:rPr>
        <w:t>IV</w:t>
      </w:r>
      <w:r w:rsidR="00361530" w:rsidRPr="00361530">
        <w:rPr>
          <w:bCs/>
          <w:color w:val="auto"/>
          <w:lang w:val="ru-RU"/>
        </w:rPr>
        <w:t>) Планшеты с покрытием хранить при температуре – 20 °C или – 70 °C. Они стабильны в течение нескольких месяцев.</w:t>
      </w:r>
    </w:p>
    <w:p w14:paraId="74E6AADB" w14:textId="77777777" w:rsidR="00361530" w:rsidRPr="00361530" w:rsidRDefault="00361530" w:rsidP="000628A1">
      <w:pPr>
        <w:spacing w:after="0" w:line="240" w:lineRule="auto"/>
        <w:ind w:left="0" w:right="0" w:firstLine="567"/>
        <w:rPr>
          <w:bCs/>
          <w:color w:val="auto"/>
          <w:lang w:val="ru-RU"/>
        </w:rPr>
      </w:pPr>
    </w:p>
    <w:p w14:paraId="50357770" w14:textId="77777777" w:rsidR="00361530" w:rsidRDefault="00AD0ADD" w:rsidP="000628A1">
      <w:pPr>
        <w:spacing w:after="0" w:line="240" w:lineRule="auto"/>
        <w:ind w:left="0" w:right="0" w:firstLine="567"/>
        <w:rPr>
          <w:b/>
          <w:color w:val="auto"/>
          <w:lang w:val="ru-RU"/>
        </w:rPr>
      </w:pPr>
      <w:r>
        <w:rPr>
          <w:b/>
          <w:color w:val="auto"/>
          <w:lang w:val="ru-RU"/>
        </w:rPr>
        <w:t>3</w:t>
      </w:r>
      <w:r w:rsidR="00361530" w:rsidRPr="00AD0ADD">
        <w:rPr>
          <w:b/>
          <w:color w:val="auto"/>
          <w:lang w:val="ru-RU"/>
        </w:rPr>
        <w:t>.2.3 Порядок проведения испытания</w:t>
      </w:r>
    </w:p>
    <w:p w14:paraId="2E33E279" w14:textId="77777777" w:rsidR="00AD0ADD" w:rsidRPr="00AD0ADD" w:rsidRDefault="00AD0ADD" w:rsidP="000628A1">
      <w:pPr>
        <w:spacing w:after="0" w:line="240" w:lineRule="auto"/>
        <w:ind w:left="0" w:right="0" w:firstLine="567"/>
        <w:rPr>
          <w:b/>
          <w:color w:val="auto"/>
          <w:lang w:val="ru-RU"/>
        </w:rPr>
      </w:pPr>
    </w:p>
    <w:p w14:paraId="17840D2F" w14:textId="77777777" w:rsidR="00361530" w:rsidRPr="00361530" w:rsidRDefault="00AD0ADD" w:rsidP="000628A1">
      <w:pPr>
        <w:spacing w:after="0" w:line="240" w:lineRule="auto"/>
        <w:ind w:left="0" w:right="0" w:firstLine="567"/>
        <w:rPr>
          <w:bCs/>
          <w:color w:val="auto"/>
          <w:lang w:val="ru-RU"/>
        </w:rPr>
      </w:pPr>
      <w:r w:rsidRPr="00361530">
        <w:rPr>
          <w:bCs/>
          <w:color w:val="auto"/>
          <w:lang w:val="ru-RU"/>
        </w:rPr>
        <w:t xml:space="preserve">I) </w:t>
      </w:r>
      <w:r w:rsidR="00361530" w:rsidRPr="00361530">
        <w:rPr>
          <w:bCs/>
          <w:color w:val="auto"/>
          <w:lang w:val="ru-RU"/>
        </w:rPr>
        <w:t>Образцы испытуемой сыворотки развести 1/30 в буфере PBS/</w:t>
      </w:r>
      <w:proofErr w:type="spellStart"/>
      <w:r w:rsidR="00361530" w:rsidRPr="00361530">
        <w:rPr>
          <w:bCs/>
          <w:color w:val="auto"/>
          <w:lang w:val="ru-RU"/>
        </w:rPr>
        <w:t>Tween</w:t>
      </w:r>
      <w:proofErr w:type="spellEnd"/>
      <w:r w:rsidR="00361530" w:rsidRPr="00361530">
        <w:rPr>
          <w:bCs/>
          <w:color w:val="auto"/>
          <w:lang w:val="ru-RU"/>
        </w:rPr>
        <w:t>,</w:t>
      </w:r>
      <w:r w:rsidR="005C4F78">
        <w:rPr>
          <w:bCs/>
          <w:color w:val="auto"/>
          <w:lang w:val="ru-RU"/>
        </w:rPr>
        <w:t xml:space="preserve"> </w:t>
      </w:r>
      <w:r w:rsidR="00361530" w:rsidRPr="00361530">
        <w:rPr>
          <w:bCs/>
          <w:color w:val="auto"/>
          <w:lang w:val="ru-RU"/>
        </w:rPr>
        <w:t xml:space="preserve">pH 7,2 (137 </w:t>
      </w:r>
      <w:proofErr w:type="spellStart"/>
      <w:r w:rsidR="00361530" w:rsidRPr="00361530">
        <w:rPr>
          <w:bCs/>
          <w:color w:val="auto"/>
          <w:lang w:val="ru-RU"/>
        </w:rPr>
        <w:t>мМ</w:t>
      </w:r>
      <w:proofErr w:type="spellEnd"/>
      <w:r w:rsidR="00361530" w:rsidRPr="00361530">
        <w:rPr>
          <w:bCs/>
          <w:color w:val="auto"/>
          <w:lang w:val="ru-RU"/>
        </w:rPr>
        <w:t xml:space="preserve"> </w:t>
      </w:r>
      <w:proofErr w:type="spellStart"/>
      <w:r w:rsidR="00361530" w:rsidRPr="00361530">
        <w:rPr>
          <w:bCs/>
          <w:color w:val="auto"/>
          <w:lang w:val="ru-RU"/>
        </w:rPr>
        <w:t>NaCl</w:t>
      </w:r>
      <w:proofErr w:type="spellEnd"/>
      <w:r w:rsidR="00361530" w:rsidRPr="00361530">
        <w:rPr>
          <w:bCs/>
          <w:color w:val="auto"/>
          <w:lang w:val="ru-RU"/>
        </w:rPr>
        <w:t xml:space="preserve">, 9,5 </w:t>
      </w:r>
      <w:proofErr w:type="spellStart"/>
      <w:r w:rsidR="00361530" w:rsidRPr="00361530">
        <w:rPr>
          <w:bCs/>
          <w:color w:val="auto"/>
          <w:lang w:val="ru-RU"/>
        </w:rPr>
        <w:t>мМ</w:t>
      </w:r>
      <w:proofErr w:type="spellEnd"/>
      <w:r w:rsidR="00361530" w:rsidRPr="00361530">
        <w:rPr>
          <w:bCs/>
          <w:color w:val="auto"/>
          <w:lang w:val="ru-RU"/>
        </w:rPr>
        <w:t xml:space="preserve"> фосфатный буфер, 0,5 мл/л </w:t>
      </w:r>
      <w:proofErr w:type="spellStart"/>
      <w:r w:rsidR="00361530" w:rsidRPr="00361530">
        <w:rPr>
          <w:bCs/>
          <w:color w:val="auto"/>
          <w:lang w:val="ru-RU"/>
        </w:rPr>
        <w:t>Tween</w:t>
      </w:r>
      <w:proofErr w:type="spellEnd"/>
      <w:r w:rsidR="00361530" w:rsidRPr="00361530">
        <w:rPr>
          <w:bCs/>
          <w:color w:val="auto"/>
          <w:lang w:val="ru-RU"/>
        </w:rPr>
        <w:t xml:space="preserve"> 20).</w:t>
      </w:r>
    </w:p>
    <w:p w14:paraId="3FFA73A7" w14:textId="77777777" w:rsidR="00361530" w:rsidRPr="00361530" w:rsidRDefault="00AD0ADD" w:rsidP="000628A1">
      <w:pPr>
        <w:spacing w:after="0" w:line="240" w:lineRule="auto"/>
        <w:ind w:left="0" w:right="0" w:firstLine="567"/>
        <w:rPr>
          <w:bCs/>
          <w:color w:val="auto"/>
          <w:lang w:val="ru-RU"/>
        </w:rPr>
      </w:pPr>
      <w:r w:rsidRPr="00361530">
        <w:rPr>
          <w:bCs/>
          <w:color w:val="auto"/>
          <w:lang w:val="ru-RU"/>
        </w:rPr>
        <w:t>II</w:t>
      </w:r>
      <w:r w:rsidR="00361530" w:rsidRPr="00361530">
        <w:rPr>
          <w:bCs/>
          <w:color w:val="auto"/>
          <w:lang w:val="ru-RU"/>
        </w:rPr>
        <w:t>) Разведенные образцы добавлять в лунки, покрытые вирусом и контрольным антигеном, и инкубировать при температуре 37 °C в течение 30 минут.</w:t>
      </w:r>
    </w:p>
    <w:p w14:paraId="0633B4A0" w14:textId="77777777" w:rsidR="00361530" w:rsidRPr="00361530" w:rsidRDefault="00AD0ADD" w:rsidP="000628A1">
      <w:pPr>
        <w:spacing w:after="0" w:line="240" w:lineRule="auto"/>
        <w:ind w:left="0" w:right="0" w:firstLine="567"/>
        <w:rPr>
          <w:bCs/>
          <w:color w:val="auto"/>
          <w:lang w:val="ru-RU"/>
        </w:rPr>
      </w:pPr>
      <w:r w:rsidRPr="00361530">
        <w:rPr>
          <w:bCs/>
          <w:color w:val="auto"/>
          <w:lang w:val="ru-RU"/>
        </w:rPr>
        <w:t>III</w:t>
      </w:r>
      <w:r w:rsidR="00361530" w:rsidRPr="00361530">
        <w:rPr>
          <w:bCs/>
          <w:color w:val="auto"/>
          <w:lang w:val="ru-RU"/>
        </w:rPr>
        <w:t xml:space="preserve">) Планшеты трижды промывать промывочным раствором (0,5 мл/л </w:t>
      </w:r>
      <w:proofErr w:type="spellStart"/>
      <w:r w:rsidR="00361530" w:rsidRPr="00361530">
        <w:rPr>
          <w:bCs/>
          <w:color w:val="auto"/>
          <w:lang w:val="ru-RU"/>
        </w:rPr>
        <w:t>Tween</w:t>
      </w:r>
      <w:proofErr w:type="spellEnd"/>
      <w:r w:rsidR="00361530" w:rsidRPr="00361530">
        <w:rPr>
          <w:bCs/>
          <w:color w:val="auto"/>
          <w:lang w:val="ru-RU"/>
        </w:rPr>
        <w:t xml:space="preserve"> 20).</w:t>
      </w:r>
    </w:p>
    <w:p w14:paraId="08A50145" w14:textId="77777777" w:rsidR="00361530" w:rsidRPr="00361530" w:rsidRDefault="00677ED7" w:rsidP="000628A1">
      <w:pPr>
        <w:spacing w:after="0" w:line="240" w:lineRule="auto"/>
        <w:ind w:left="0" w:right="0" w:firstLine="567"/>
        <w:rPr>
          <w:bCs/>
          <w:color w:val="auto"/>
          <w:lang w:val="ru-RU"/>
        </w:rPr>
      </w:pPr>
      <w:r w:rsidRPr="00361530">
        <w:rPr>
          <w:bCs/>
          <w:color w:val="auto"/>
          <w:lang w:val="ru-RU"/>
        </w:rPr>
        <w:t>IV</w:t>
      </w:r>
      <w:r w:rsidR="00AD0ADD" w:rsidRPr="00361530">
        <w:rPr>
          <w:bCs/>
          <w:color w:val="auto"/>
          <w:lang w:val="ru-RU"/>
        </w:rPr>
        <w:t xml:space="preserve">) </w:t>
      </w:r>
      <w:r w:rsidR="00361530" w:rsidRPr="00361530">
        <w:rPr>
          <w:bCs/>
          <w:color w:val="auto"/>
          <w:lang w:val="ru-RU"/>
        </w:rPr>
        <w:t xml:space="preserve">Во все лунки добавлять </w:t>
      </w:r>
      <w:proofErr w:type="spellStart"/>
      <w:r w:rsidR="00361530" w:rsidRPr="00361530">
        <w:rPr>
          <w:bCs/>
          <w:color w:val="auto"/>
          <w:lang w:val="ru-RU"/>
        </w:rPr>
        <w:t>конъюгат</w:t>
      </w:r>
      <w:proofErr w:type="spellEnd"/>
      <w:r w:rsidR="00361530" w:rsidRPr="00361530">
        <w:rPr>
          <w:bCs/>
          <w:color w:val="auto"/>
          <w:lang w:val="ru-RU"/>
        </w:rPr>
        <w:t xml:space="preserve"> белок А/</w:t>
      </w:r>
      <w:proofErr w:type="spellStart"/>
      <w:r w:rsidR="00361530" w:rsidRPr="00361530">
        <w:rPr>
          <w:bCs/>
          <w:color w:val="auto"/>
          <w:lang w:val="ru-RU"/>
        </w:rPr>
        <w:t>пероксидаза</w:t>
      </w:r>
      <w:proofErr w:type="spellEnd"/>
      <w:r w:rsidR="00361530" w:rsidRPr="00361530">
        <w:rPr>
          <w:bCs/>
          <w:color w:val="auto"/>
          <w:lang w:val="ru-RU"/>
        </w:rPr>
        <w:t xml:space="preserve"> в заданном разведении в буфере PBS/</w:t>
      </w:r>
      <w:proofErr w:type="spellStart"/>
      <w:r w:rsidR="00361530" w:rsidRPr="00361530">
        <w:rPr>
          <w:bCs/>
          <w:color w:val="auto"/>
          <w:lang w:val="ru-RU"/>
        </w:rPr>
        <w:t>Tween</w:t>
      </w:r>
      <w:proofErr w:type="spellEnd"/>
      <w:r w:rsidR="00361530" w:rsidRPr="00361530">
        <w:rPr>
          <w:bCs/>
          <w:color w:val="auto"/>
          <w:lang w:val="ru-RU"/>
        </w:rPr>
        <w:t>, pH 7,2 (см. выше), с добавлением фракции V бычьего сывороточного альбумина (10 мкг/л), и планшеты инкубировать при температуре 37 °С в течение 30 минут.</w:t>
      </w:r>
    </w:p>
    <w:p w14:paraId="3D2E6ED0" w14:textId="77777777" w:rsidR="00361530" w:rsidRPr="00361530" w:rsidRDefault="00677ED7" w:rsidP="00677ED7">
      <w:pPr>
        <w:spacing w:after="0" w:line="240" w:lineRule="auto"/>
        <w:ind w:left="0" w:right="0" w:firstLine="567"/>
        <w:rPr>
          <w:bCs/>
          <w:color w:val="auto"/>
          <w:lang w:val="ru-RU"/>
        </w:rPr>
      </w:pPr>
      <w:r w:rsidRPr="00361530">
        <w:rPr>
          <w:bCs/>
          <w:color w:val="auto"/>
          <w:lang w:val="ru-RU"/>
        </w:rPr>
        <w:t xml:space="preserve">V) </w:t>
      </w:r>
      <w:r w:rsidR="00361530" w:rsidRPr="00361530">
        <w:rPr>
          <w:bCs/>
          <w:color w:val="auto"/>
          <w:lang w:val="ru-RU"/>
        </w:rPr>
        <w:t xml:space="preserve">Планшеты трижды промывать промывочным раствором (0,5 мл/л </w:t>
      </w:r>
      <w:proofErr w:type="spellStart"/>
      <w:r w:rsidR="00361530" w:rsidRPr="00361530">
        <w:rPr>
          <w:bCs/>
          <w:color w:val="auto"/>
          <w:lang w:val="ru-RU"/>
        </w:rPr>
        <w:t>Tween</w:t>
      </w:r>
      <w:proofErr w:type="spellEnd"/>
      <w:r w:rsidR="00361530" w:rsidRPr="00361530">
        <w:rPr>
          <w:bCs/>
          <w:color w:val="auto"/>
          <w:lang w:val="ru-RU"/>
        </w:rPr>
        <w:t xml:space="preserve"> 20).</w:t>
      </w:r>
    </w:p>
    <w:p w14:paraId="395DE4A0" w14:textId="77777777" w:rsidR="00361530" w:rsidRPr="00361530" w:rsidRDefault="00677ED7" w:rsidP="00677ED7">
      <w:pPr>
        <w:spacing w:after="0" w:line="240" w:lineRule="auto"/>
        <w:ind w:left="0" w:right="0" w:firstLine="567"/>
        <w:rPr>
          <w:bCs/>
          <w:color w:val="auto"/>
          <w:lang w:val="ru-RU"/>
        </w:rPr>
      </w:pPr>
      <w:r w:rsidRPr="00361530">
        <w:rPr>
          <w:bCs/>
          <w:color w:val="auto"/>
          <w:lang w:val="ru-RU"/>
        </w:rPr>
        <w:lastRenderedPageBreak/>
        <w:t xml:space="preserve">VI) </w:t>
      </w:r>
      <w:r w:rsidR="00361530" w:rsidRPr="00361530">
        <w:rPr>
          <w:bCs/>
          <w:color w:val="auto"/>
          <w:lang w:val="ru-RU"/>
        </w:rPr>
        <w:t xml:space="preserve">На каждый планшет добавлять подходящую смесь хромогена/субстрата, такую как </w:t>
      </w:r>
      <w:proofErr w:type="spellStart"/>
      <w:r w:rsidR="00361530" w:rsidRPr="00361530">
        <w:rPr>
          <w:bCs/>
          <w:color w:val="auto"/>
          <w:lang w:val="ru-RU"/>
        </w:rPr>
        <w:t>тетраметилбензидин</w:t>
      </w:r>
      <w:proofErr w:type="spellEnd"/>
      <w:r w:rsidR="00361530" w:rsidRPr="00361530">
        <w:rPr>
          <w:bCs/>
          <w:color w:val="auto"/>
          <w:lang w:val="ru-RU"/>
        </w:rPr>
        <w:t xml:space="preserve"> (ТМБ)/перекись водорода.</w:t>
      </w:r>
    </w:p>
    <w:p w14:paraId="62189767" w14:textId="77777777" w:rsidR="00361530" w:rsidRPr="00361530" w:rsidRDefault="00677ED7" w:rsidP="00677ED7">
      <w:pPr>
        <w:spacing w:after="0" w:line="240" w:lineRule="auto"/>
        <w:ind w:left="0" w:right="0" w:firstLine="567"/>
        <w:rPr>
          <w:bCs/>
          <w:color w:val="auto"/>
          <w:lang w:val="ru-RU"/>
        </w:rPr>
      </w:pPr>
      <w:r w:rsidRPr="00361530">
        <w:rPr>
          <w:bCs/>
          <w:color w:val="auto"/>
          <w:lang w:val="ru-RU"/>
        </w:rPr>
        <w:t>VII</w:t>
      </w:r>
      <w:r w:rsidR="00361530" w:rsidRPr="00361530">
        <w:rPr>
          <w:bCs/>
          <w:color w:val="auto"/>
          <w:lang w:val="ru-RU"/>
        </w:rPr>
        <w:t>) Реакцию остановить 2М серной кислотой. Поглощение считывать при 492 нм.</w:t>
      </w:r>
    </w:p>
    <w:p w14:paraId="64753CFB"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Испытание должно быть полностью подтверждено с использованием известных положительных и отрицательных сывороток и откалибровано по эталонной сыворотке международного стандарта МЭБ. Настоятельно рекомендуется проводить контроль партии для каждой партии испытания, чтобы определить чувствительность и специфичность по отношению к первоначальным критериям валидации (должны быть установлены критерии для принятия или отказа от партии). Для стандартного анализа все испытания должны включать положительные и отрицательные внутренние контроли, в том числе, по меньшей мере, один слабоположительный образец, который при разбавлении в соответствующем разведении для испытания имеет активность, эквивалентную 1/2 разведения Международной стандартной эталонной сыворотки МЭБ. Внутренний контроль также используется для мониторинга чувствительности, специфичности и воспроизводимости испытания с течением времени. Для получения дополнительной информации см. Тома и </w:t>
      </w:r>
      <w:proofErr w:type="spellStart"/>
      <w:r w:rsidRPr="00361530">
        <w:rPr>
          <w:bCs/>
          <w:color w:val="auto"/>
          <w:lang w:val="ru-RU"/>
        </w:rPr>
        <w:t>Илойт</w:t>
      </w:r>
      <w:proofErr w:type="spellEnd"/>
      <w:r w:rsidRPr="00361530">
        <w:rPr>
          <w:bCs/>
          <w:color w:val="auto"/>
          <w:lang w:val="ru-RU"/>
        </w:rPr>
        <w:t>, 1986 г. и главу 1.1.6 «Принципы и методы валидации диагностических испытаний на инфекционные заболевания». Коммерческие наборы ИФА также должны пройти валидацию в условиях, в которых они будут использоваться.</w:t>
      </w:r>
    </w:p>
    <w:p w14:paraId="00B15EFA"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Помимо испытания сывороток, ИФА может быть адаптирован для испытания пулов сывороток, дисков фильтровальной бумаги, смоченных небольшим количеством крови, полученной путем пункции поверхностной вены (</w:t>
      </w:r>
      <w:proofErr w:type="spellStart"/>
      <w:r w:rsidRPr="00361530">
        <w:rPr>
          <w:bCs/>
          <w:color w:val="auto"/>
          <w:lang w:val="ru-RU"/>
        </w:rPr>
        <w:t>Банкс</w:t>
      </w:r>
      <w:proofErr w:type="spellEnd"/>
      <w:r w:rsidRPr="00361530">
        <w:rPr>
          <w:bCs/>
          <w:color w:val="auto"/>
          <w:lang w:val="ru-RU"/>
        </w:rPr>
        <w:t xml:space="preserve">, 1985 г.; Тома и др., 1986 г.), или мышечные экссудаты (Ле </w:t>
      </w:r>
      <w:proofErr w:type="spellStart"/>
      <w:r w:rsidRPr="00361530">
        <w:rPr>
          <w:bCs/>
          <w:color w:val="auto"/>
          <w:lang w:val="ru-RU"/>
        </w:rPr>
        <w:t>Потье</w:t>
      </w:r>
      <w:proofErr w:type="spellEnd"/>
      <w:r w:rsidRPr="00361530">
        <w:rPr>
          <w:bCs/>
          <w:color w:val="auto"/>
          <w:lang w:val="ru-RU"/>
        </w:rPr>
        <w:t xml:space="preserve"> и др., 1998 г.). Настоящие методы упрощают сбор образцов крови у большого количества свиней (</w:t>
      </w:r>
      <w:proofErr w:type="spellStart"/>
      <w:r w:rsidRPr="00361530">
        <w:rPr>
          <w:bCs/>
          <w:color w:val="auto"/>
          <w:lang w:val="ru-RU"/>
        </w:rPr>
        <w:t>Ванье</w:t>
      </w:r>
      <w:proofErr w:type="spellEnd"/>
      <w:r w:rsidRPr="00361530">
        <w:rPr>
          <w:bCs/>
          <w:color w:val="auto"/>
          <w:lang w:val="ru-RU"/>
        </w:rPr>
        <w:t xml:space="preserve"> и др., 2007 г.). Диски высушить на воздухе перед отправкой в лабораторию. (Аналитическая) чувствительность может быть ниже, чем у стандартного ИФА, из-за типа образца или неизбежного разбавления образца. Таким образом, использование адаптированного ИФА больше подходит для испытания на уровне популяции, а не для индивидуального испытания (например, перед перемещением животных), если </w:t>
      </w:r>
      <w:proofErr w:type="spellStart"/>
      <w:r w:rsidRPr="00361530">
        <w:rPr>
          <w:bCs/>
          <w:color w:val="auto"/>
          <w:lang w:val="ru-RU"/>
        </w:rPr>
        <w:t>валидационное</w:t>
      </w:r>
      <w:proofErr w:type="spellEnd"/>
      <w:r w:rsidRPr="00361530">
        <w:rPr>
          <w:bCs/>
          <w:color w:val="auto"/>
          <w:lang w:val="ru-RU"/>
        </w:rPr>
        <w:t xml:space="preserve"> исследование не показало сопоставимую (аналитическую) чувствительность со стандартным ИФА.</w:t>
      </w:r>
    </w:p>
    <w:p w14:paraId="2F953E9D"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Требования к обнаружению </w:t>
      </w:r>
      <w:proofErr w:type="spellStart"/>
      <w:r w:rsidRPr="00361530">
        <w:rPr>
          <w:bCs/>
          <w:color w:val="auto"/>
          <w:lang w:val="ru-RU"/>
        </w:rPr>
        <w:t>gE</w:t>
      </w:r>
      <w:proofErr w:type="spellEnd"/>
      <w:r w:rsidRPr="00361530">
        <w:rPr>
          <w:bCs/>
          <w:color w:val="auto"/>
          <w:lang w:val="ru-RU"/>
        </w:rPr>
        <w:t xml:space="preserve">-антител с помощью ИФА у свиней, предназначенных для убоя, которые должны быть ввезены в зоны, не подверженные болезни </w:t>
      </w:r>
      <w:proofErr w:type="spellStart"/>
      <w:r w:rsidRPr="00361530">
        <w:rPr>
          <w:bCs/>
          <w:color w:val="auto"/>
          <w:lang w:val="ru-RU"/>
        </w:rPr>
        <w:t>Ауески</w:t>
      </w:r>
      <w:proofErr w:type="spellEnd"/>
      <w:r w:rsidRPr="00361530">
        <w:rPr>
          <w:bCs/>
          <w:color w:val="auto"/>
          <w:lang w:val="ru-RU"/>
        </w:rPr>
        <w:t xml:space="preserve">, были определены несколькими контрольными органами. Например, в Европейском Союзе наборы ИФА </w:t>
      </w:r>
      <w:proofErr w:type="spellStart"/>
      <w:r w:rsidRPr="00361530">
        <w:rPr>
          <w:bCs/>
          <w:color w:val="auto"/>
          <w:lang w:val="ru-RU"/>
        </w:rPr>
        <w:t>gE</w:t>
      </w:r>
      <w:proofErr w:type="spellEnd"/>
      <w:r w:rsidRPr="00361530">
        <w:rPr>
          <w:bCs/>
          <w:color w:val="auto"/>
          <w:lang w:val="ru-RU"/>
        </w:rPr>
        <w:t xml:space="preserve"> должны обнаруживать активность, по меньшей мере, эквивалентную 1/8 разведению Международной стандартной эталонной сыворотки МЭБ (Европейская Комиссия, 2008 г.). Кодекс здоровья наземных животных МЭБ определяет обстоятельства, при которых могут использоваться специфические для </w:t>
      </w:r>
      <w:proofErr w:type="spellStart"/>
      <w:r w:rsidRPr="00361530">
        <w:rPr>
          <w:bCs/>
          <w:color w:val="auto"/>
          <w:lang w:val="ru-RU"/>
        </w:rPr>
        <w:t>gE</w:t>
      </w:r>
      <w:proofErr w:type="spellEnd"/>
      <w:r w:rsidRPr="00361530">
        <w:rPr>
          <w:bCs/>
          <w:color w:val="auto"/>
          <w:lang w:val="ru-RU"/>
        </w:rPr>
        <w:t xml:space="preserve"> испытания. GE ИФА также можно адаптировать для анализа крови на дисках из фильтровальной бумаги в зависимости от ее чувствительности.</w:t>
      </w:r>
    </w:p>
    <w:p w14:paraId="0B8FE3CF"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w:t>
      </w:r>
    </w:p>
    <w:p w14:paraId="2A2321DA" w14:textId="77777777" w:rsidR="00361530" w:rsidRPr="00677ED7" w:rsidRDefault="00677ED7" w:rsidP="00677ED7">
      <w:pPr>
        <w:pStyle w:val="a8"/>
        <w:numPr>
          <w:ilvl w:val="0"/>
          <w:numId w:val="7"/>
        </w:numPr>
        <w:spacing w:after="0" w:line="240" w:lineRule="auto"/>
        <w:ind w:right="0"/>
        <w:rPr>
          <w:b/>
          <w:color w:val="auto"/>
          <w:lang w:val="ru-RU"/>
        </w:rPr>
      </w:pPr>
      <w:r w:rsidRPr="00677ED7">
        <w:rPr>
          <w:b/>
          <w:color w:val="auto"/>
          <w:lang w:val="ru-RU"/>
        </w:rPr>
        <w:t>Требования к вакцинам</w:t>
      </w:r>
    </w:p>
    <w:p w14:paraId="20D67962" w14:textId="77777777" w:rsidR="00677ED7" w:rsidRPr="00677ED7" w:rsidRDefault="00677ED7" w:rsidP="00677ED7">
      <w:pPr>
        <w:spacing w:after="0" w:line="240" w:lineRule="auto"/>
        <w:ind w:left="0" w:right="0" w:firstLine="567"/>
        <w:rPr>
          <w:b/>
          <w:color w:val="auto"/>
          <w:lang w:val="ru-RU"/>
        </w:rPr>
      </w:pPr>
    </w:p>
    <w:p w14:paraId="5EFB63E0" w14:textId="77777777" w:rsidR="00361530" w:rsidRPr="00677ED7" w:rsidRDefault="00677ED7" w:rsidP="00677ED7">
      <w:pPr>
        <w:spacing w:after="0" w:line="240" w:lineRule="auto"/>
        <w:ind w:left="567" w:right="0" w:firstLine="0"/>
        <w:rPr>
          <w:b/>
          <w:color w:val="auto"/>
          <w:lang w:val="ru-RU"/>
        </w:rPr>
      </w:pPr>
      <w:r>
        <w:rPr>
          <w:b/>
          <w:color w:val="auto"/>
          <w:lang w:val="ru-RU"/>
        </w:rPr>
        <w:t xml:space="preserve">4.1 </w:t>
      </w:r>
      <w:r w:rsidR="00361530" w:rsidRPr="00677ED7">
        <w:rPr>
          <w:b/>
          <w:color w:val="auto"/>
          <w:lang w:val="ru-RU"/>
        </w:rPr>
        <w:t xml:space="preserve">Обоснование и использование продукта по назначению </w:t>
      </w:r>
    </w:p>
    <w:p w14:paraId="6D338491" w14:textId="77777777" w:rsidR="00677ED7" w:rsidRPr="00677ED7" w:rsidRDefault="00677ED7" w:rsidP="00677ED7">
      <w:pPr>
        <w:pStyle w:val="a8"/>
        <w:spacing w:after="0" w:line="240" w:lineRule="auto"/>
        <w:ind w:left="927" w:right="0" w:firstLine="0"/>
        <w:rPr>
          <w:b/>
          <w:color w:val="auto"/>
          <w:lang w:val="ru-RU"/>
        </w:rPr>
      </w:pPr>
    </w:p>
    <w:p w14:paraId="6C719E51"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Болезнь </w:t>
      </w:r>
      <w:proofErr w:type="spellStart"/>
      <w:r w:rsidRPr="00361530">
        <w:rPr>
          <w:bCs/>
          <w:color w:val="auto"/>
          <w:lang w:val="ru-RU"/>
        </w:rPr>
        <w:t>Ауески</w:t>
      </w:r>
      <w:proofErr w:type="spellEnd"/>
      <w:r w:rsidRPr="00361530">
        <w:rPr>
          <w:bCs/>
          <w:color w:val="auto"/>
          <w:lang w:val="ru-RU"/>
        </w:rPr>
        <w:t xml:space="preserve"> можно контролировать с помощью вакцин, содержащих либо модифицированные живые, либо инактивированные вирусные антигены. Кроме того, эти обычные вакцины были дополнены живыми вакцинами SHV-1, полученными из рекомбинантной ДНК, с удаленными генами или естественным образом удаленными. Настоящие вакцины, называемые маркерными или DIVA-вакцинами, изготовлены из вируса, в котором отсутствует специфический гликопротеин (чаще всего </w:t>
      </w:r>
      <w:proofErr w:type="spellStart"/>
      <w:r w:rsidRPr="00361530">
        <w:rPr>
          <w:bCs/>
          <w:color w:val="auto"/>
          <w:lang w:val="ru-RU"/>
        </w:rPr>
        <w:t>gE</w:t>
      </w:r>
      <w:proofErr w:type="spellEnd"/>
      <w:r w:rsidRPr="00361530">
        <w:rPr>
          <w:bCs/>
          <w:color w:val="auto"/>
          <w:lang w:val="ru-RU"/>
        </w:rPr>
        <w:t xml:space="preserve">-, хотя также описаны вакцины с удалением </w:t>
      </w:r>
      <w:proofErr w:type="spellStart"/>
      <w:r w:rsidRPr="00361530">
        <w:rPr>
          <w:bCs/>
          <w:color w:val="auto"/>
          <w:lang w:val="ru-RU"/>
        </w:rPr>
        <w:t>gG</w:t>
      </w:r>
      <w:proofErr w:type="spellEnd"/>
      <w:r w:rsidRPr="00361530">
        <w:rPr>
          <w:bCs/>
          <w:color w:val="auto"/>
          <w:lang w:val="ru-RU"/>
        </w:rPr>
        <w:t xml:space="preserve"> или </w:t>
      </w:r>
      <w:proofErr w:type="spellStart"/>
      <w:r w:rsidRPr="00361530">
        <w:rPr>
          <w:bCs/>
          <w:color w:val="auto"/>
          <w:lang w:val="ru-RU"/>
        </w:rPr>
        <w:t>gC</w:t>
      </w:r>
      <w:proofErr w:type="spellEnd"/>
      <w:r w:rsidRPr="00361530">
        <w:rPr>
          <w:bCs/>
          <w:color w:val="auto"/>
          <w:lang w:val="ru-RU"/>
        </w:rPr>
        <w:t xml:space="preserve">, а также вакцины с множественными </w:t>
      </w:r>
      <w:r w:rsidRPr="00361530">
        <w:rPr>
          <w:bCs/>
          <w:color w:val="auto"/>
          <w:lang w:val="ru-RU"/>
        </w:rPr>
        <w:lastRenderedPageBreak/>
        <w:t xml:space="preserve">удалениями2). Настоящие DIVA-вакцины с удаленными генами имеют то преимущество перед обычными </w:t>
      </w:r>
      <w:proofErr w:type="spellStart"/>
      <w:r w:rsidRPr="00361530">
        <w:rPr>
          <w:bCs/>
          <w:color w:val="auto"/>
          <w:lang w:val="ru-RU"/>
        </w:rPr>
        <w:t>цельновирусными</w:t>
      </w:r>
      <w:proofErr w:type="spellEnd"/>
      <w:r w:rsidRPr="00361530">
        <w:rPr>
          <w:bCs/>
          <w:color w:val="auto"/>
          <w:lang w:val="ru-RU"/>
        </w:rPr>
        <w:t xml:space="preserve"> вакцинами, что они позволяют отличить инфицированных животных от неинфицированных вакцинированных животных. Это возможно путем испытания антител, направленных против белка, кодируемого удаленным геном, который будет отсутствовать у неинфицированных свиней, вакцинированных DIVA, но будет присутствовать у свиней, инфицированных в полевых условиях. Поэтому в странах с инфицированными свиньями, где планируется ликвидация болезни </w:t>
      </w:r>
      <w:proofErr w:type="spellStart"/>
      <w:r w:rsidRPr="00361530">
        <w:rPr>
          <w:bCs/>
          <w:color w:val="auto"/>
          <w:lang w:val="ru-RU"/>
        </w:rPr>
        <w:t>Ауески</w:t>
      </w:r>
      <w:proofErr w:type="spellEnd"/>
      <w:r w:rsidRPr="00361530">
        <w:rPr>
          <w:bCs/>
          <w:color w:val="auto"/>
          <w:lang w:val="ru-RU"/>
        </w:rPr>
        <w:t>, эти DIVA-вакцины являются вакцинами выбора (</w:t>
      </w:r>
      <w:proofErr w:type="spellStart"/>
      <w:r w:rsidRPr="00361530">
        <w:rPr>
          <w:bCs/>
          <w:color w:val="auto"/>
          <w:lang w:val="ru-RU"/>
        </w:rPr>
        <w:t>Пенсаэрт</w:t>
      </w:r>
      <w:proofErr w:type="spellEnd"/>
      <w:r w:rsidRPr="00361530">
        <w:rPr>
          <w:bCs/>
          <w:color w:val="auto"/>
          <w:lang w:val="ru-RU"/>
        </w:rPr>
        <w:t xml:space="preserve"> и др., 2004 г.). Приведено описание стандартов, применимых к производству живых и инактивированных вирусных вакцин. Для DIVA-вакцин испытания должны включать наглядное отсутствие серологической реакции у вакцинированных свиней на белок, кодируемый удаленным геном, и, кроме того, наглядная реакция на тот же белок у вакцинированных свиней, инфицированных полевым вирусом.</w:t>
      </w:r>
    </w:p>
    <w:p w14:paraId="5DD37C24"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Другие вакцины являются инактивированными и состоят из адъюванта, вирусной субъединицы очищенных и концентрированных </w:t>
      </w:r>
      <w:proofErr w:type="spellStart"/>
      <w:r w:rsidRPr="00361530">
        <w:rPr>
          <w:bCs/>
          <w:color w:val="auto"/>
          <w:lang w:val="ru-RU"/>
        </w:rPr>
        <w:t>иммуногенных</w:t>
      </w:r>
      <w:proofErr w:type="spellEnd"/>
      <w:r w:rsidRPr="00361530">
        <w:rPr>
          <w:bCs/>
          <w:color w:val="auto"/>
          <w:lang w:val="ru-RU"/>
        </w:rPr>
        <w:t xml:space="preserve"> гликопротеинов (кроме </w:t>
      </w:r>
      <w:proofErr w:type="spellStart"/>
      <w:r w:rsidRPr="00361530">
        <w:rPr>
          <w:bCs/>
          <w:color w:val="auto"/>
          <w:lang w:val="ru-RU"/>
        </w:rPr>
        <w:t>gE</w:t>
      </w:r>
      <w:proofErr w:type="spellEnd"/>
      <w:r w:rsidRPr="00361530">
        <w:rPr>
          <w:bCs/>
          <w:color w:val="auto"/>
          <w:lang w:val="ru-RU"/>
        </w:rPr>
        <w:t>), что позволяет дифференцировать вакцинированных свиней от инфицированных.</w:t>
      </w:r>
    </w:p>
    <w:p w14:paraId="154E4E84"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Руководство по производству ветеринарных вакцин приведено в Главе 1.1.8 Принципы производства ветеринарных вакцин. Рекомендации, приведенные здесь и в главе 1.1.8, носят общий характер и могут быть дополнены национальными и региональными требованиями.</w:t>
      </w:r>
    </w:p>
    <w:p w14:paraId="7826E4D5" w14:textId="77777777" w:rsidR="00361530" w:rsidRDefault="00361530" w:rsidP="00677ED7">
      <w:pPr>
        <w:spacing w:after="0" w:line="240" w:lineRule="auto"/>
        <w:ind w:left="0" w:right="0" w:firstLine="567"/>
        <w:rPr>
          <w:bCs/>
          <w:color w:val="auto"/>
          <w:lang w:val="ru-RU"/>
        </w:rPr>
      </w:pPr>
    </w:p>
    <w:p w14:paraId="0725B924" w14:textId="77777777" w:rsidR="00677ED7" w:rsidRDefault="00677ED7" w:rsidP="00677ED7">
      <w:pPr>
        <w:spacing w:after="0" w:line="240" w:lineRule="auto"/>
        <w:ind w:left="0" w:right="0" w:firstLine="567"/>
        <w:rPr>
          <w:bCs/>
          <w:color w:val="auto"/>
          <w:lang w:val="ru-RU"/>
        </w:rPr>
      </w:pPr>
    </w:p>
    <w:p w14:paraId="4D3C53FF" w14:textId="77777777" w:rsidR="00677ED7" w:rsidRDefault="00677ED7" w:rsidP="00677ED7">
      <w:pPr>
        <w:spacing w:after="0" w:line="240" w:lineRule="auto"/>
        <w:ind w:left="0" w:right="0" w:firstLine="567"/>
        <w:rPr>
          <w:bCs/>
          <w:color w:val="auto"/>
          <w:lang w:val="ru-RU"/>
        </w:rPr>
      </w:pPr>
    </w:p>
    <w:p w14:paraId="1E6F4723" w14:textId="77777777" w:rsidR="00677ED7" w:rsidRDefault="00677ED7" w:rsidP="00677ED7">
      <w:pPr>
        <w:spacing w:after="0" w:line="240" w:lineRule="auto"/>
        <w:ind w:left="0" w:right="0" w:firstLine="567"/>
        <w:rPr>
          <w:bCs/>
          <w:color w:val="auto"/>
          <w:lang w:val="ru-RU"/>
        </w:rPr>
      </w:pPr>
    </w:p>
    <w:p w14:paraId="2E08D9F7" w14:textId="77777777" w:rsidR="00677ED7" w:rsidRDefault="00677ED7" w:rsidP="00677ED7">
      <w:pPr>
        <w:spacing w:after="0" w:line="240" w:lineRule="auto"/>
        <w:ind w:left="0" w:right="0" w:firstLine="567"/>
        <w:rPr>
          <w:bCs/>
          <w:color w:val="auto"/>
          <w:lang w:val="ru-RU"/>
        </w:rPr>
      </w:pPr>
    </w:p>
    <w:p w14:paraId="249EA0D0" w14:textId="77777777" w:rsidR="00677ED7" w:rsidRDefault="00677ED7" w:rsidP="00677ED7">
      <w:pPr>
        <w:spacing w:after="0" w:line="240" w:lineRule="auto"/>
        <w:ind w:left="0" w:right="0" w:firstLine="567"/>
        <w:rPr>
          <w:bCs/>
          <w:color w:val="auto"/>
          <w:lang w:val="ru-RU"/>
        </w:rPr>
      </w:pPr>
    </w:p>
    <w:p w14:paraId="748C1B5C" w14:textId="77777777" w:rsidR="00677ED7" w:rsidRDefault="00677ED7" w:rsidP="00677ED7">
      <w:pPr>
        <w:spacing w:after="0" w:line="240" w:lineRule="auto"/>
        <w:ind w:left="0" w:right="0" w:firstLine="567"/>
        <w:rPr>
          <w:bCs/>
          <w:color w:val="auto"/>
          <w:lang w:val="ru-RU"/>
        </w:rPr>
      </w:pPr>
    </w:p>
    <w:p w14:paraId="3E02836B" w14:textId="77777777" w:rsidR="00677ED7" w:rsidRDefault="00677ED7" w:rsidP="00677ED7">
      <w:pPr>
        <w:spacing w:after="0" w:line="240" w:lineRule="auto"/>
        <w:ind w:left="0" w:right="0" w:firstLine="567"/>
        <w:rPr>
          <w:bCs/>
          <w:color w:val="auto"/>
          <w:lang w:val="ru-RU"/>
        </w:rPr>
      </w:pPr>
    </w:p>
    <w:p w14:paraId="01788866" w14:textId="77777777" w:rsidR="00677ED7" w:rsidRDefault="00677ED7" w:rsidP="00677ED7">
      <w:pPr>
        <w:spacing w:after="0" w:line="240" w:lineRule="auto"/>
        <w:ind w:left="0" w:right="0" w:firstLine="567"/>
        <w:rPr>
          <w:bCs/>
          <w:color w:val="auto"/>
          <w:lang w:val="ru-RU"/>
        </w:rPr>
      </w:pPr>
    </w:p>
    <w:p w14:paraId="08157372" w14:textId="77777777" w:rsidR="00677ED7" w:rsidRDefault="00677ED7" w:rsidP="00677ED7">
      <w:pPr>
        <w:spacing w:after="0" w:line="240" w:lineRule="auto"/>
        <w:ind w:left="0" w:right="0" w:firstLine="567"/>
        <w:rPr>
          <w:bCs/>
          <w:color w:val="auto"/>
          <w:lang w:val="ru-RU"/>
        </w:rPr>
      </w:pPr>
    </w:p>
    <w:p w14:paraId="39FA8D58" w14:textId="77777777" w:rsidR="00677ED7" w:rsidRDefault="00677ED7" w:rsidP="00677ED7">
      <w:pPr>
        <w:spacing w:after="0" w:line="240" w:lineRule="auto"/>
        <w:ind w:left="0" w:right="0" w:firstLine="567"/>
        <w:rPr>
          <w:bCs/>
          <w:color w:val="auto"/>
          <w:lang w:val="ru-RU"/>
        </w:rPr>
      </w:pPr>
    </w:p>
    <w:p w14:paraId="5C0D3F66" w14:textId="77777777" w:rsidR="00677ED7" w:rsidRDefault="00677ED7" w:rsidP="00677ED7">
      <w:pPr>
        <w:spacing w:after="0" w:line="240" w:lineRule="auto"/>
        <w:ind w:left="0" w:right="0" w:firstLine="567"/>
        <w:rPr>
          <w:bCs/>
          <w:color w:val="auto"/>
          <w:lang w:val="ru-RU"/>
        </w:rPr>
      </w:pPr>
    </w:p>
    <w:p w14:paraId="034606B9" w14:textId="77777777" w:rsidR="00677ED7" w:rsidRDefault="00677ED7" w:rsidP="00677ED7">
      <w:pPr>
        <w:spacing w:after="0" w:line="240" w:lineRule="auto"/>
        <w:ind w:left="0" w:right="0" w:firstLine="567"/>
        <w:rPr>
          <w:bCs/>
          <w:color w:val="auto"/>
          <w:lang w:val="ru-RU"/>
        </w:rPr>
      </w:pPr>
    </w:p>
    <w:p w14:paraId="307C9271" w14:textId="77777777" w:rsidR="00677ED7" w:rsidRDefault="00677ED7" w:rsidP="00677ED7">
      <w:pPr>
        <w:spacing w:after="0" w:line="240" w:lineRule="auto"/>
        <w:ind w:left="0" w:right="0" w:firstLine="567"/>
        <w:rPr>
          <w:bCs/>
          <w:color w:val="auto"/>
          <w:lang w:val="ru-RU"/>
        </w:rPr>
      </w:pPr>
    </w:p>
    <w:p w14:paraId="360ACB7A" w14:textId="77777777" w:rsidR="00677ED7" w:rsidRDefault="00677ED7" w:rsidP="00677ED7">
      <w:pPr>
        <w:spacing w:after="0" w:line="240" w:lineRule="auto"/>
        <w:ind w:left="0" w:right="0" w:firstLine="567"/>
        <w:rPr>
          <w:bCs/>
          <w:color w:val="auto"/>
          <w:lang w:val="ru-RU"/>
        </w:rPr>
      </w:pPr>
    </w:p>
    <w:p w14:paraId="572CCA4E" w14:textId="77777777" w:rsidR="00361530" w:rsidRDefault="00361530" w:rsidP="00361530">
      <w:pPr>
        <w:spacing w:after="160" w:line="259" w:lineRule="auto"/>
        <w:ind w:left="0" w:right="0" w:firstLine="567"/>
        <w:rPr>
          <w:bCs/>
          <w:color w:val="auto"/>
          <w:lang w:val="ru-RU"/>
        </w:rPr>
      </w:pPr>
    </w:p>
    <w:p w14:paraId="6C59FB02" w14:textId="77777777" w:rsidR="00677ED7" w:rsidRDefault="00677ED7" w:rsidP="00361530">
      <w:pPr>
        <w:spacing w:after="160" w:line="259" w:lineRule="auto"/>
        <w:ind w:left="0" w:right="0" w:firstLine="567"/>
        <w:rPr>
          <w:bCs/>
          <w:color w:val="auto"/>
          <w:lang w:val="ru-RU"/>
        </w:rPr>
      </w:pPr>
    </w:p>
    <w:p w14:paraId="52FF726A" w14:textId="77777777" w:rsidR="00677ED7" w:rsidRDefault="00677ED7" w:rsidP="00361530">
      <w:pPr>
        <w:spacing w:after="160" w:line="259" w:lineRule="auto"/>
        <w:ind w:left="0" w:right="0" w:firstLine="567"/>
        <w:rPr>
          <w:bCs/>
          <w:color w:val="auto"/>
          <w:lang w:val="ru-RU"/>
        </w:rPr>
      </w:pPr>
    </w:p>
    <w:p w14:paraId="2CD51B8F" w14:textId="77777777" w:rsidR="00361530" w:rsidRPr="00677ED7" w:rsidRDefault="00361530" w:rsidP="00361530">
      <w:pPr>
        <w:spacing w:after="160" w:line="259" w:lineRule="auto"/>
        <w:ind w:left="0" w:right="0" w:firstLine="567"/>
        <w:rPr>
          <w:bCs/>
          <w:color w:val="auto"/>
          <w:sz w:val="20"/>
          <w:szCs w:val="20"/>
          <w:lang w:val="ru-RU"/>
        </w:rPr>
      </w:pPr>
      <w:r w:rsidRPr="00677ED7">
        <w:rPr>
          <w:bCs/>
          <w:color w:val="auto"/>
          <w:sz w:val="20"/>
          <w:szCs w:val="20"/>
          <w:lang w:val="ru-RU"/>
        </w:rPr>
        <w:t>___________</w:t>
      </w:r>
    </w:p>
    <w:p w14:paraId="068F08A1" w14:textId="77777777" w:rsidR="00361530" w:rsidRPr="00677ED7" w:rsidRDefault="00361530" w:rsidP="00361530">
      <w:pPr>
        <w:spacing w:after="160" w:line="259" w:lineRule="auto"/>
        <w:ind w:left="0" w:right="0" w:firstLine="567"/>
        <w:rPr>
          <w:bCs/>
          <w:color w:val="auto"/>
          <w:sz w:val="20"/>
          <w:szCs w:val="20"/>
          <w:lang w:val="ru-RU"/>
        </w:rPr>
      </w:pPr>
      <w:r w:rsidRPr="00677ED7">
        <w:rPr>
          <w:bCs/>
          <w:color w:val="auto"/>
          <w:sz w:val="20"/>
          <w:szCs w:val="20"/>
          <w:lang w:val="ru-RU"/>
        </w:rPr>
        <w:t xml:space="preserve">2 Условные обозначения генов изменились несколько лет назад, но старые обозначения все еще используются в литературе. Старые и новые обозначения: </w:t>
      </w:r>
      <w:proofErr w:type="spellStart"/>
      <w:r w:rsidRPr="00677ED7">
        <w:rPr>
          <w:bCs/>
          <w:color w:val="auto"/>
          <w:sz w:val="20"/>
          <w:szCs w:val="20"/>
          <w:lang w:val="ru-RU"/>
        </w:rPr>
        <w:t>gII</w:t>
      </w:r>
      <w:proofErr w:type="spellEnd"/>
      <w:r w:rsidRPr="00677ED7">
        <w:rPr>
          <w:bCs/>
          <w:color w:val="auto"/>
          <w:sz w:val="20"/>
          <w:szCs w:val="20"/>
          <w:lang w:val="ru-RU"/>
        </w:rPr>
        <w:t xml:space="preserve"> = </w:t>
      </w:r>
      <w:proofErr w:type="spellStart"/>
      <w:r w:rsidRPr="00677ED7">
        <w:rPr>
          <w:bCs/>
          <w:color w:val="auto"/>
          <w:sz w:val="20"/>
          <w:szCs w:val="20"/>
          <w:lang w:val="ru-RU"/>
        </w:rPr>
        <w:t>gB</w:t>
      </w:r>
      <w:proofErr w:type="spellEnd"/>
      <w:r w:rsidRPr="00677ED7">
        <w:rPr>
          <w:bCs/>
          <w:color w:val="auto"/>
          <w:sz w:val="20"/>
          <w:szCs w:val="20"/>
          <w:lang w:val="ru-RU"/>
        </w:rPr>
        <w:t xml:space="preserve">; </w:t>
      </w:r>
      <w:proofErr w:type="spellStart"/>
      <w:r w:rsidRPr="00677ED7">
        <w:rPr>
          <w:bCs/>
          <w:color w:val="auto"/>
          <w:sz w:val="20"/>
          <w:szCs w:val="20"/>
          <w:lang w:val="ru-RU"/>
        </w:rPr>
        <w:t>gIII</w:t>
      </w:r>
      <w:proofErr w:type="spellEnd"/>
      <w:r w:rsidRPr="00677ED7">
        <w:rPr>
          <w:bCs/>
          <w:color w:val="auto"/>
          <w:sz w:val="20"/>
          <w:szCs w:val="20"/>
          <w:lang w:val="ru-RU"/>
        </w:rPr>
        <w:t xml:space="preserve"> = </w:t>
      </w:r>
      <w:proofErr w:type="spellStart"/>
      <w:r w:rsidRPr="00677ED7">
        <w:rPr>
          <w:bCs/>
          <w:color w:val="auto"/>
          <w:sz w:val="20"/>
          <w:szCs w:val="20"/>
          <w:lang w:val="ru-RU"/>
        </w:rPr>
        <w:t>gС</w:t>
      </w:r>
      <w:proofErr w:type="spellEnd"/>
      <w:r w:rsidRPr="00677ED7">
        <w:rPr>
          <w:bCs/>
          <w:color w:val="auto"/>
          <w:sz w:val="20"/>
          <w:szCs w:val="20"/>
          <w:lang w:val="ru-RU"/>
        </w:rPr>
        <w:t xml:space="preserve">; gp50 = </w:t>
      </w:r>
      <w:proofErr w:type="spellStart"/>
      <w:r w:rsidRPr="00677ED7">
        <w:rPr>
          <w:bCs/>
          <w:color w:val="auto"/>
          <w:sz w:val="20"/>
          <w:szCs w:val="20"/>
          <w:lang w:val="ru-RU"/>
        </w:rPr>
        <w:t>gD</w:t>
      </w:r>
      <w:proofErr w:type="spellEnd"/>
      <w:r w:rsidRPr="00677ED7">
        <w:rPr>
          <w:bCs/>
          <w:color w:val="auto"/>
          <w:sz w:val="20"/>
          <w:szCs w:val="20"/>
          <w:lang w:val="ru-RU"/>
        </w:rPr>
        <w:t xml:space="preserve">; </w:t>
      </w:r>
      <w:proofErr w:type="spellStart"/>
      <w:r w:rsidRPr="00677ED7">
        <w:rPr>
          <w:bCs/>
          <w:color w:val="auto"/>
          <w:sz w:val="20"/>
          <w:szCs w:val="20"/>
          <w:lang w:val="ru-RU"/>
        </w:rPr>
        <w:t>gI</w:t>
      </w:r>
      <w:proofErr w:type="spellEnd"/>
      <w:r w:rsidRPr="00677ED7">
        <w:rPr>
          <w:bCs/>
          <w:color w:val="auto"/>
          <w:sz w:val="20"/>
          <w:szCs w:val="20"/>
          <w:lang w:val="ru-RU"/>
        </w:rPr>
        <w:t xml:space="preserve"> = </w:t>
      </w:r>
      <w:proofErr w:type="spellStart"/>
      <w:r w:rsidRPr="00677ED7">
        <w:rPr>
          <w:bCs/>
          <w:color w:val="auto"/>
          <w:sz w:val="20"/>
          <w:szCs w:val="20"/>
          <w:lang w:val="ru-RU"/>
        </w:rPr>
        <w:t>gE</w:t>
      </w:r>
      <w:proofErr w:type="spellEnd"/>
      <w:r w:rsidRPr="00677ED7">
        <w:rPr>
          <w:bCs/>
          <w:color w:val="auto"/>
          <w:sz w:val="20"/>
          <w:szCs w:val="20"/>
          <w:lang w:val="ru-RU"/>
        </w:rPr>
        <w:t xml:space="preserve">; </w:t>
      </w:r>
      <w:proofErr w:type="spellStart"/>
      <w:r w:rsidRPr="00677ED7">
        <w:rPr>
          <w:bCs/>
          <w:color w:val="auto"/>
          <w:sz w:val="20"/>
          <w:szCs w:val="20"/>
          <w:lang w:val="ru-RU"/>
        </w:rPr>
        <w:t>gХ</w:t>
      </w:r>
      <w:proofErr w:type="spellEnd"/>
      <w:r w:rsidRPr="00677ED7">
        <w:rPr>
          <w:bCs/>
          <w:color w:val="auto"/>
          <w:sz w:val="20"/>
          <w:szCs w:val="20"/>
          <w:lang w:val="ru-RU"/>
        </w:rPr>
        <w:t xml:space="preserve"> = </w:t>
      </w:r>
      <w:proofErr w:type="spellStart"/>
      <w:r w:rsidRPr="00677ED7">
        <w:rPr>
          <w:bCs/>
          <w:color w:val="auto"/>
          <w:sz w:val="20"/>
          <w:szCs w:val="20"/>
          <w:lang w:val="ru-RU"/>
        </w:rPr>
        <w:t>gГ</w:t>
      </w:r>
      <w:proofErr w:type="spellEnd"/>
      <w:r w:rsidRPr="00677ED7">
        <w:rPr>
          <w:bCs/>
          <w:color w:val="auto"/>
          <w:sz w:val="20"/>
          <w:szCs w:val="20"/>
          <w:lang w:val="ru-RU"/>
        </w:rPr>
        <w:t xml:space="preserve">; gp63 = </w:t>
      </w:r>
      <w:proofErr w:type="spellStart"/>
      <w:r w:rsidRPr="00677ED7">
        <w:rPr>
          <w:bCs/>
          <w:color w:val="auto"/>
          <w:sz w:val="20"/>
          <w:szCs w:val="20"/>
          <w:lang w:val="ru-RU"/>
        </w:rPr>
        <w:t>gl</w:t>
      </w:r>
      <w:proofErr w:type="spellEnd"/>
      <w:r w:rsidRPr="00677ED7">
        <w:rPr>
          <w:bCs/>
          <w:color w:val="auto"/>
          <w:sz w:val="20"/>
          <w:szCs w:val="20"/>
          <w:lang w:val="ru-RU"/>
        </w:rPr>
        <w:t>. Следует обратить внимание, что некоторые коммерческие серологические наборы все еще могут называться по старой номенклатуре.</w:t>
      </w:r>
    </w:p>
    <w:p w14:paraId="384ACD7F" w14:textId="77777777" w:rsidR="00361530" w:rsidRPr="00677ED7" w:rsidRDefault="00677ED7" w:rsidP="00361530">
      <w:pPr>
        <w:spacing w:after="160" w:line="259" w:lineRule="auto"/>
        <w:ind w:left="0" w:right="0" w:firstLine="567"/>
        <w:rPr>
          <w:b/>
          <w:color w:val="auto"/>
          <w:lang w:val="ru-RU"/>
        </w:rPr>
      </w:pPr>
      <w:r w:rsidRPr="00677ED7">
        <w:rPr>
          <w:b/>
          <w:color w:val="auto"/>
          <w:lang w:val="ru-RU"/>
        </w:rPr>
        <w:t>5</w:t>
      </w:r>
      <w:r w:rsidR="00361530" w:rsidRPr="00677ED7">
        <w:rPr>
          <w:b/>
          <w:color w:val="auto"/>
          <w:lang w:val="ru-RU"/>
        </w:rPr>
        <w:t xml:space="preserve"> Основные принципы производства и минимальные требования к обычным вакцинам</w:t>
      </w:r>
    </w:p>
    <w:p w14:paraId="28BA6624" w14:textId="77777777" w:rsidR="00361530" w:rsidRPr="00677ED7" w:rsidRDefault="00677ED7" w:rsidP="00361530">
      <w:pPr>
        <w:spacing w:after="160" w:line="259" w:lineRule="auto"/>
        <w:ind w:left="0" w:right="0" w:firstLine="567"/>
        <w:rPr>
          <w:b/>
          <w:color w:val="auto"/>
          <w:lang w:val="ru-RU"/>
        </w:rPr>
      </w:pPr>
      <w:r>
        <w:rPr>
          <w:b/>
          <w:color w:val="auto"/>
          <w:lang w:val="ru-RU"/>
        </w:rPr>
        <w:t>5</w:t>
      </w:r>
      <w:r w:rsidR="00361530" w:rsidRPr="00677ED7">
        <w:rPr>
          <w:b/>
          <w:color w:val="auto"/>
          <w:lang w:val="ru-RU"/>
        </w:rPr>
        <w:t>.1 Характеристики посевного материала</w:t>
      </w:r>
    </w:p>
    <w:p w14:paraId="11ED473A" w14:textId="77777777" w:rsidR="00361530" w:rsidRPr="00677ED7" w:rsidRDefault="00677ED7" w:rsidP="00361530">
      <w:pPr>
        <w:spacing w:after="160" w:line="259" w:lineRule="auto"/>
        <w:ind w:left="0" w:right="0" w:firstLine="567"/>
        <w:rPr>
          <w:b/>
          <w:color w:val="auto"/>
          <w:lang w:val="ru-RU"/>
        </w:rPr>
      </w:pPr>
      <w:r>
        <w:rPr>
          <w:b/>
          <w:color w:val="auto"/>
          <w:lang w:val="ru-RU"/>
        </w:rPr>
        <w:lastRenderedPageBreak/>
        <w:t>5</w:t>
      </w:r>
      <w:r w:rsidR="00361530" w:rsidRPr="00677ED7">
        <w:rPr>
          <w:b/>
          <w:color w:val="auto"/>
          <w:lang w:val="ru-RU"/>
        </w:rPr>
        <w:t>.1.1 Биологические характеристики</w:t>
      </w:r>
    </w:p>
    <w:p w14:paraId="56D22EDF"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Вакцины производятся с использованием системы посевного материала, в которой основной посевной вирус (MSV) получается из подходящего штамма вируса болезни </w:t>
      </w:r>
      <w:proofErr w:type="spellStart"/>
      <w:r w:rsidRPr="00361530">
        <w:rPr>
          <w:bCs/>
          <w:color w:val="auto"/>
          <w:lang w:val="ru-RU"/>
        </w:rPr>
        <w:t>Ауески</w:t>
      </w:r>
      <w:proofErr w:type="spellEnd"/>
      <w:r w:rsidRPr="00361530">
        <w:rPr>
          <w:bCs/>
          <w:color w:val="auto"/>
          <w:lang w:val="ru-RU"/>
        </w:rPr>
        <w:t xml:space="preserve">. Ряд штаммов используется для производства вакцин. Антиген в инактивированной вакцине может быть одним из ряда штаммов дикого типа или вирусом Бухареста с естественным удалением. В модифицированных живых обычных вакцинах используются многочисленные штаммы, такие как </w:t>
      </w:r>
      <w:proofErr w:type="spellStart"/>
      <w:r w:rsidRPr="00361530">
        <w:rPr>
          <w:bCs/>
          <w:color w:val="auto"/>
          <w:lang w:val="ru-RU"/>
        </w:rPr>
        <w:t>Bartha</w:t>
      </w:r>
      <w:proofErr w:type="spellEnd"/>
      <w:r w:rsidRPr="00361530">
        <w:rPr>
          <w:bCs/>
          <w:color w:val="auto"/>
          <w:lang w:val="ru-RU"/>
        </w:rPr>
        <w:t xml:space="preserve">, или они получены из исходного изолята </w:t>
      </w:r>
      <w:proofErr w:type="spellStart"/>
      <w:r w:rsidRPr="00361530">
        <w:rPr>
          <w:bCs/>
          <w:color w:val="auto"/>
          <w:lang w:val="ru-RU"/>
        </w:rPr>
        <w:t>Ауески</w:t>
      </w:r>
      <w:proofErr w:type="spellEnd"/>
      <w:r w:rsidRPr="00361530">
        <w:rPr>
          <w:bCs/>
          <w:color w:val="auto"/>
          <w:lang w:val="ru-RU"/>
        </w:rPr>
        <w:t xml:space="preserve"> или других полевых изолятов, таких как штамм NIA-3 (</w:t>
      </w:r>
      <w:proofErr w:type="spellStart"/>
      <w:r w:rsidRPr="00361530">
        <w:rPr>
          <w:bCs/>
          <w:color w:val="auto"/>
          <w:lang w:val="ru-RU"/>
        </w:rPr>
        <w:t>Марчиоли</w:t>
      </w:r>
      <w:proofErr w:type="spellEnd"/>
      <w:r w:rsidRPr="00361530">
        <w:rPr>
          <w:bCs/>
          <w:color w:val="auto"/>
          <w:lang w:val="ru-RU"/>
        </w:rPr>
        <w:t xml:space="preserve"> и др., 1987 г.; </w:t>
      </w:r>
      <w:proofErr w:type="spellStart"/>
      <w:r w:rsidRPr="00361530">
        <w:rPr>
          <w:bCs/>
          <w:color w:val="auto"/>
          <w:lang w:val="ru-RU"/>
        </w:rPr>
        <w:t>МкФерран</w:t>
      </w:r>
      <w:proofErr w:type="spellEnd"/>
      <w:r w:rsidRPr="00361530">
        <w:rPr>
          <w:bCs/>
          <w:color w:val="auto"/>
          <w:lang w:val="ru-RU"/>
        </w:rPr>
        <w:t xml:space="preserve"> и Доу, 1975 г.; Ван </w:t>
      </w:r>
      <w:proofErr w:type="spellStart"/>
      <w:r w:rsidRPr="00361530">
        <w:rPr>
          <w:bCs/>
          <w:color w:val="auto"/>
          <w:lang w:val="ru-RU"/>
        </w:rPr>
        <w:t>Ойршот</w:t>
      </w:r>
      <w:proofErr w:type="spellEnd"/>
      <w:r w:rsidRPr="00361530">
        <w:rPr>
          <w:bCs/>
          <w:color w:val="auto"/>
          <w:lang w:val="ru-RU"/>
        </w:rPr>
        <w:t xml:space="preserve"> и др., 1990 г.; </w:t>
      </w:r>
      <w:proofErr w:type="spellStart"/>
      <w:r w:rsidRPr="00361530">
        <w:rPr>
          <w:bCs/>
          <w:color w:val="auto"/>
          <w:lang w:val="ru-RU"/>
        </w:rPr>
        <w:t>Виссер</w:t>
      </w:r>
      <w:proofErr w:type="spellEnd"/>
      <w:r w:rsidRPr="00361530">
        <w:rPr>
          <w:bCs/>
          <w:color w:val="auto"/>
          <w:lang w:val="ru-RU"/>
        </w:rPr>
        <w:t xml:space="preserve"> и </w:t>
      </w:r>
      <w:proofErr w:type="spellStart"/>
      <w:r w:rsidRPr="00361530">
        <w:rPr>
          <w:bCs/>
          <w:color w:val="auto"/>
          <w:lang w:val="ru-RU"/>
        </w:rPr>
        <w:t>Люттикен</w:t>
      </w:r>
      <w:proofErr w:type="spellEnd"/>
      <w:r w:rsidRPr="00361530">
        <w:rPr>
          <w:bCs/>
          <w:color w:val="auto"/>
          <w:lang w:val="ru-RU"/>
        </w:rPr>
        <w:t>, 1988 г.).</w:t>
      </w:r>
    </w:p>
    <w:p w14:paraId="585D00B2"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Для дифференциации инфицированных и вакцинированных животных рекомендуется использовать удаленные штаммы.</w:t>
      </w:r>
    </w:p>
    <w:p w14:paraId="02F084C9"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Испытания на идентичность вируса (с использованием либо флуоресцентного испытания на антитела, испытания на нейтрализацию, [метода постоянной сыворотки/снижающегося количества вируса] или любого другого подходящего испытания на идентичность) должен быть проведен на основном посевном вирусе (MSV).</w:t>
      </w:r>
    </w:p>
    <w:p w14:paraId="6022B782" w14:textId="77777777" w:rsidR="00361530" w:rsidRPr="00361530" w:rsidRDefault="00361530" w:rsidP="00677ED7">
      <w:pPr>
        <w:spacing w:after="0" w:line="240" w:lineRule="auto"/>
        <w:ind w:left="0" w:right="0" w:firstLine="567"/>
        <w:rPr>
          <w:bCs/>
          <w:color w:val="auto"/>
          <w:lang w:val="ru-RU"/>
        </w:rPr>
      </w:pPr>
    </w:p>
    <w:p w14:paraId="2EE6E1AD" w14:textId="77777777" w:rsidR="00361530" w:rsidRPr="00677ED7" w:rsidRDefault="00677ED7" w:rsidP="00677ED7">
      <w:pPr>
        <w:spacing w:after="0" w:line="240" w:lineRule="auto"/>
        <w:ind w:left="0" w:right="0" w:firstLine="567"/>
        <w:rPr>
          <w:b/>
          <w:color w:val="auto"/>
          <w:lang w:val="ru-RU"/>
        </w:rPr>
      </w:pPr>
      <w:r w:rsidRPr="00677ED7">
        <w:rPr>
          <w:b/>
          <w:color w:val="auto"/>
          <w:lang w:val="ru-RU"/>
        </w:rPr>
        <w:t>5</w:t>
      </w:r>
      <w:r w:rsidR="00361530" w:rsidRPr="00677ED7">
        <w:rPr>
          <w:b/>
          <w:color w:val="auto"/>
          <w:lang w:val="ru-RU"/>
        </w:rPr>
        <w:t>.1.2 Критерии качества (стерильность, чистота, отсутствие посторонних возбудителей)</w:t>
      </w:r>
    </w:p>
    <w:p w14:paraId="6A6C8675" w14:textId="77777777" w:rsidR="00677ED7" w:rsidRPr="00361530" w:rsidRDefault="00677ED7" w:rsidP="00677ED7">
      <w:pPr>
        <w:spacing w:after="0" w:line="240" w:lineRule="auto"/>
        <w:ind w:left="0" w:right="0" w:firstLine="567"/>
        <w:rPr>
          <w:bCs/>
          <w:color w:val="auto"/>
          <w:lang w:val="ru-RU"/>
        </w:rPr>
      </w:pPr>
    </w:p>
    <w:p w14:paraId="606F23D3"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Большинство клеточных линий, используемых для размножения SHV-1, представляют собой непрерывные линии, такие как линия PK-15. Основной запас клеток (MCS) устанавливается на указанном уровне пассажа. MCS и наивысший уровень пассажа (MCS × n), предназначенные для использования при приготовлении биологического продукта, указываются в основных принципах производства. Как MCS, так и MCS × n контролируются с помощью различных процедур, чтобы охарактеризовать клеточную линию и гарантировать отсутствие посторонних агентов. Посторонние агенты, которые должны быть обнаружены, обычно определяются в монографиях или руководствах (например, Европейская фармакопея, Свод федеральных правил США, руководства ЕС и т.д.). В общем, тип агентов, которые следует искать, основан на анализе риска в зависимости от истории вирусного штамма и клеток, на которых вакцинный штамм был выделен и на которых он культивируется. MCS должен контролироваться на наличие видов происхождения. Минимум 50 митотических клеток следует исследовать как на уровне MCS, так и на уровне MCS × n пассажей. Модальное число в MCS × n не должно превышать 15% от модального числа MCS. Любые маркерные хромосомы в MCS также должны присутствовать в самом высоком клеточном пассаже.</w:t>
      </w:r>
    </w:p>
    <w:p w14:paraId="22BE3005"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Если есть доказательства того, что клеточная линия может индуцировать злокачественные новообразования у видов, для которых предназначен продукт, клеточная линия испытывается на </w:t>
      </w:r>
      <w:proofErr w:type="spellStart"/>
      <w:r w:rsidRPr="00361530">
        <w:rPr>
          <w:bCs/>
          <w:color w:val="auto"/>
          <w:lang w:val="ru-RU"/>
        </w:rPr>
        <w:t>туморогенность</w:t>
      </w:r>
      <w:proofErr w:type="spellEnd"/>
      <w:r w:rsidRPr="00361530">
        <w:rPr>
          <w:bCs/>
          <w:color w:val="auto"/>
          <w:lang w:val="ru-RU"/>
        </w:rPr>
        <w:t xml:space="preserve"> (опухоль) и </w:t>
      </w:r>
      <w:proofErr w:type="spellStart"/>
      <w:r w:rsidRPr="00361530">
        <w:rPr>
          <w:bCs/>
          <w:color w:val="auto"/>
          <w:lang w:val="ru-RU"/>
        </w:rPr>
        <w:t>онкогенность</w:t>
      </w:r>
      <w:proofErr w:type="spellEnd"/>
      <w:r w:rsidRPr="00361530">
        <w:rPr>
          <w:bCs/>
          <w:color w:val="auto"/>
          <w:lang w:val="ru-RU"/>
        </w:rPr>
        <w:t>.</w:t>
      </w:r>
    </w:p>
    <w:p w14:paraId="7544E589"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Как MSV (основной посевной вирус), так и MCS (основной запас клеток) должны быть продемонстрированы как не содержащие микоплазмы, бактерии, грибки, цитопатогенные или </w:t>
      </w:r>
      <w:proofErr w:type="spellStart"/>
      <w:r w:rsidRPr="00361530">
        <w:rPr>
          <w:bCs/>
          <w:color w:val="auto"/>
          <w:lang w:val="ru-RU"/>
        </w:rPr>
        <w:t>гемадсорбирующие</w:t>
      </w:r>
      <w:proofErr w:type="spellEnd"/>
      <w:r w:rsidRPr="00361530">
        <w:rPr>
          <w:bCs/>
          <w:color w:val="auto"/>
          <w:lang w:val="ru-RU"/>
        </w:rPr>
        <w:t xml:space="preserve"> вирусы, </w:t>
      </w:r>
      <w:proofErr w:type="spellStart"/>
      <w:r w:rsidRPr="00361530">
        <w:rPr>
          <w:bCs/>
          <w:color w:val="auto"/>
          <w:lang w:val="ru-RU"/>
        </w:rPr>
        <w:t>парвовирус</w:t>
      </w:r>
      <w:proofErr w:type="spellEnd"/>
      <w:r w:rsidRPr="00361530">
        <w:rPr>
          <w:bCs/>
          <w:color w:val="auto"/>
          <w:lang w:val="ru-RU"/>
        </w:rPr>
        <w:t xml:space="preserve"> свиней, </w:t>
      </w:r>
      <w:proofErr w:type="spellStart"/>
      <w:r w:rsidRPr="00361530">
        <w:rPr>
          <w:bCs/>
          <w:color w:val="auto"/>
          <w:lang w:val="ru-RU"/>
        </w:rPr>
        <w:t>цитопатические</w:t>
      </w:r>
      <w:proofErr w:type="spellEnd"/>
      <w:r w:rsidRPr="00361530">
        <w:rPr>
          <w:bCs/>
          <w:color w:val="auto"/>
          <w:lang w:val="ru-RU"/>
        </w:rPr>
        <w:t xml:space="preserve"> и </w:t>
      </w:r>
      <w:proofErr w:type="spellStart"/>
      <w:r w:rsidRPr="00361530">
        <w:rPr>
          <w:bCs/>
          <w:color w:val="auto"/>
          <w:lang w:val="ru-RU"/>
        </w:rPr>
        <w:t>нецитопатические</w:t>
      </w:r>
      <w:proofErr w:type="spellEnd"/>
      <w:r w:rsidRPr="00361530">
        <w:rPr>
          <w:bCs/>
          <w:color w:val="auto"/>
          <w:lang w:val="ru-RU"/>
        </w:rPr>
        <w:t xml:space="preserve"> </w:t>
      </w:r>
      <w:proofErr w:type="spellStart"/>
      <w:r w:rsidRPr="00361530">
        <w:rPr>
          <w:bCs/>
          <w:color w:val="auto"/>
          <w:lang w:val="ru-RU"/>
        </w:rPr>
        <w:t>пестивирусы</w:t>
      </w:r>
      <w:proofErr w:type="spellEnd"/>
      <w:r w:rsidRPr="00361530">
        <w:rPr>
          <w:bCs/>
          <w:color w:val="auto"/>
          <w:lang w:val="ru-RU"/>
        </w:rPr>
        <w:t xml:space="preserve"> овец и крупного рогатого скота и другие посторонние агенты, такие как </w:t>
      </w:r>
      <w:proofErr w:type="spellStart"/>
      <w:r w:rsidRPr="00361530">
        <w:rPr>
          <w:bCs/>
          <w:color w:val="auto"/>
          <w:lang w:val="ru-RU"/>
        </w:rPr>
        <w:t>цирковирусы</w:t>
      </w:r>
      <w:proofErr w:type="spellEnd"/>
      <w:r w:rsidRPr="00361530">
        <w:rPr>
          <w:bCs/>
          <w:color w:val="auto"/>
          <w:lang w:val="ru-RU"/>
        </w:rPr>
        <w:t>, что определяется культивированием и флуоресцентным анализом, процедуры с антителами или другие, такие как ПЦР.</w:t>
      </w:r>
    </w:p>
    <w:p w14:paraId="6F26C209" w14:textId="77777777" w:rsidR="00361530" w:rsidRPr="00361530" w:rsidRDefault="00361530" w:rsidP="00677ED7">
      <w:pPr>
        <w:spacing w:after="0" w:line="240" w:lineRule="auto"/>
        <w:ind w:left="0" w:right="0" w:firstLine="567"/>
        <w:rPr>
          <w:bCs/>
          <w:color w:val="auto"/>
          <w:lang w:val="ru-RU"/>
        </w:rPr>
      </w:pPr>
    </w:p>
    <w:p w14:paraId="3CEECA7B" w14:textId="77777777" w:rsidR="00361530" w:rsidRPr="00677ED7" w:rsidRDefault="00677ED7" w:rsidP="00677ED7">
      <w:pPr>
        <w:spacing w:after="0" w:line="240" w:lineRule="auto"/>
        <w:ind w:left="0" w:right="0" w:firstLine="567"/>
        <w:rPr>
          <w:b/>
          <w:color w:val="auto"/>
          <w:lang w:val="ru-RU"/>
        </w:rPr>
      </w:pPr>
      <w:r w:rsidRPr="00677ED7">
        <w:rPr>
          <w:b/>
          <w:color w:val="auto"/>
          <w:lang w:val="ru-RU"/>
        </w:rPr>
        <w:t>5</w:t>
      </w:r>
      <w:r w:rsidR="00361530" w:rsidRPr="00677ED7">
        <w:rPr>
          <w:b/>
          <w:color w:val="auto"/>
          <w:lang w:val="ru-RU"/>
        </w:rPr>
        <w:t>.2 Метод производства</w:t>
      </w:r>
    </w:p>
    <w:p w14:paraId="2FDAAA39" w14:textId="77777777" w:rsidR="00677ED7" w:rsidRPr="00677ED7" w:rsidRDefault="00677ED7" w:rsidP="00677ED7">
      <w:pPr>
        <w:spacing w:after="0" w:line="240" w:lineRule="auto"/>
        <w:ind w:left="0" w:right="0" w:firstLine="567"/>
        <w:rPr>
          <w:b/>
          <w:color w:val="auto"/>
          <w:lang w:val="ru-RU"/>
        </w:rPr>
      </w:pPr>
    </w:p>
    <w:p w14:paraId="72C128DE" w14:textId="77777777" w:rsidR="00361530" w:rsidRPr="00677ED7" w:rsidRDefault="00677ED7" w:rsidP="00677ED7">
      <w:pPr>
        <w:spacing w:after="0" w:line="240" w:lineRule="auto"/>
        <w:ind w:left="0" w:right="0" w:firstLine="567"/>
        <w:rPr>
          <w:b/>
          <w:color w:val="auto"/>
          <w:lang w:val="ru-RU"/>
        </w:rPr>
      </w:pPr>
      <w:r w:rsidRPr="00677ED7">
        <w:rPr>
          <w:b/>
          <w:color w:val="auto"/>
          <w:lang w:val="ru-RU"/>
        </w:rPr>
        <w:t>5</w:t>
      </w:r>
      <w:r w:rsidR="00361530" w:rsidRPr="00677ED7">
        <w:rPr>
          <w:b/>
          <w:color w:val="auto"/>
          <w:lang w:val="ru-RU"/>
        </w:rPr>
        <w:t xml:space="preserve">.2.1 Порядок проведения </w:t>
      </w:r>
    </w:p>
    <w:p w14:paraId="7749B685" w14:textId="77777777" w:rsidR="00677ED7" w:rsidRPr="00361530" w:rsidRDefault="00677ED7" w:rsidP="00677ED7">
      <w:pPr>
        <w:spacing w:after="0" w:line="240" w:lineRule="auto"/>
        <w:ind w:left="0" w:right="0" w:firstLine="567"/>
        <w:rPr>
          <w:bCs/>
          <w:color w:val="auto"/>
          <w:lang w:val="ru-RU"/>
        </w:rPr>
      </w:pPr>
    </w:p>
    <w:p w14:paraId="61EBFF7B"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lastRenderedPageBreak/>
        <w:t xml:space="preserve">Только MSV, признанный чистым, безопасным и </w:t>
      </w:r>
      <w:proofErr w:type="spellStart"/>
      <w:r w:rsidRPr="00361530">
        <w:rPr>
          <w:bCs/>
          <w:color w:val="auto"/>
          <w:lang w:val="ru-RU"/>
        </w:rPr>
        <w:t>иммуногенным</w:t>
      </w:r>
      <w:proofErr w:type="spellEnd"/>
      <w:r w:rsidRPr="00361530">
        <w:rPr>
          <w:bCs/>
          <w:color w:val="auto"/>
          <w:lang w:val="ru-RU"/>
        </w:rPr>
        <w:t>, может быть использован в качестве посевного материала для вакцинного продукта. Клетки из MCS размножаются в различных питательных средах. Все партии вакцины должны быть с первого по двадцатый пассаж MCS.</w:t>
      </w:r>
    </w:p>
    <w:p w14:paraId="35B4F291" w14:textId="77777777" w:rsidR="00361530" w:rsidRPr="00361530" w:rsidRDefault="00361530" w:rsidP="00677ED7">
      <w:pPr>
        <w:spacing w:after="0" w:line="240" w:lineRule="auto"/>
        <w:ind w:left="0" w:right="0" w:firstLine="567"/>
        <w:rPr>
          <w:bCs/>
          <w:color w:val="auto"/>
          <w:lang w:val="ru-RU"/>
        </w:rPr>
      </w:pPr>
    </w:p>
    <w:p w14:paraId="79CA7931" w14:textId="77777777" w:rsidR="00361530" w:rsidRDefault="00677ED7" w:rsidP="00677ED7">
      <w:pPr>
        <w:spacing w:after="0" w:line="240" w:lineRule="auto"/>
        <w:ind w:left="0" w:right="0" w:firstLine="567"/>
        <w:rPr>
          <w:b/>
          <w:color w:val="auto"/>
          <w:lang w:val="ru-RU"/>
        </w:rPr>
      </w:pPr>
      <w:r w:rsidRPr="00677ED7">
        <w:rPr>
          <w:b/>
          <w:color w:val="auto"/>
          <w:lang w:val="ru-RU"/>
        </w:rPr>
        <w:t>5</w:t>
      </w:r>
      <w:r w:rsidR="00361530" w:rsidRPr="00677ED7">
        <w:rPr>
          <w:b/>
          <w:color w:val="auto"/>
          <w:lang w:val="ru-RU"/>
        </w:rPr>
        <w:t>.2.2 Внутрипроизводственный контроль</w:t>
      </w:r>
    </w:p>
    <w:p w14:paraId="679848CE" w14:textId="77777777" w:rsidR="008C7058" w:rsidRPr="00677ED7" w:rsidRDefault="008C7058" w:rsidP="00677ED7">
      <w:pPr>
        <w:spacing w:after="0" w:line="240" w:lineRule="auto"/>
        <w:ind w:left="0" w:right="0" w:firstLine="567"/>
        <w:rPr>
          <w:b/>
          <w:color w:val="auto"/>
          <w:lang w:val="ru-RU"/>
        </w:rPr>
      </w:pPr>
    </w:p>
    <w:p w14:paraId="582DF85A"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Необходимо проводить испытания на каждом критическом этапе производственного процесса. Контрольные испытания также проводятся на промежуточных продуктах с целью проверки согласованности производственного процесса и конечного продукта.</w:t>
      </w:r>
    </w:p>
    <w:p w14:paraId="769D75A6" w14:textId="77777777" w:rsidR="00361530" w:rsidRPr="00361530" w:rsidRDefault="00361530" w:rsidP="00677ED7">
      <w:pPr>
        <w:spacing w:after="0" w:line="240" w:lineRule="auto"/>
        <w:ind w:left="0" w:right="0" w:firstLine="567"/>
        <w:rPr>
          <w:bCs/>
          <w:color w:val="auto"/>
          <w:lang w:val="ru-RU"/>
        </w:rPr>
      </w:pPr>
    </w:p>
    <w:p w14:paraId="11B76329" w14:textId="77777777" w:rsidR="00361530" w:rsidRPr="008C7058" w:rsidRDefault="008C7058" w:rsidP="00677ED7">
      <w:pPr>
        <w:spacing w:after="0" w:line="240" w:lineRule="auto"/>
        <w:ind w:left="0" w:right="0" w:firstLine="567"/>
        <w:rPr>
          <w:b/>
          <w:color w:val="auto"/>
          <w:lang w:val="ru-RU"/>
        </w:rPr>
      </w:pPr>
      <w:r w:rsidRPr="008C7058">
        <w:rPr>
          <w:b/>
          <w:color w:val="auto"/>
          <w:lang w:val="ru-RU"/>
        </w:rPr>
        <w:t>5</w:t>
      </w:r>
      <w:r w:rsidR="00361530" w:rsidRPr="008C7058">
        <w:rPr>
          <w:b/>
          <w:color w:val="auto"/>
          <w:lang w:val="ru-RU"/>
        </w:rPr>
        <w:t>.2.3 Испытания партии конечного продукта</w:t>
      </w:r>
    </w:p>
    <w:p w14:paraId="4363C721" w14:textId="77777777" w:rsidR="008C7058" w:rsidRPr="00CE5718" w:rsidRDefault="008C7058" w:rsidP="00677ED7">
      <w:pPr>
        <w:spacing w:after="0" w:line="240" w:lineRule="auto"/>
        <w:ind w:left="0" w:right="0" w:firstLine="567"/>
        <w:rPr>
          <w:bCs/>
          <w:color w:val="auto"/>
          <w:lang w:val="ru-RU"/>
        </w:rPr>
      </w:pPr>
    </w:p>
    <w:p w14:paraId="65DB0F68"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Важно отличать испытания, которые проводятся на регулярной основе для выпуска партий конечного продукта, от испытаний, которые проводятся для определения биологических свойств вакцины. Испытания, проводимые для выпуска партии, отличаются от испытаний, проводимых только один раз для определения безопасности и эффективности вакцины. Контроль выпуска партии всегда является краткосрочным испытанием, как можно более недорогим, и не всегда проводится на свиньях. Их цель в основном заключается в подтверждении воспроизводимости качества готового продукта, которое должно соответствовать качеству, первоначально указанному в заявке на получение торговой лицензии.</w:t>
      </w:r>
    </w:p>
    <w:p w14:paraId="1FEB017E"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i) Стерильность и чистота</w:t>
      </w:r>
    </w:p>
    <w:p w14:paraId="15A50A27"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Необходимо проводить испытания на стерильность и отсутствие контаминации (см. главу 1.1.9 и раздел C.2.1.2 настоящей главы).</w:t>
      </w:r>
    </w:p>
    <w:p w14:paraId="778349AA"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Каждая партия вакцин SHV-1 должна быть проверена на отсутствие посторонних вирусов. С помощью минимального количества моноспецифической </w:t>
      </w:r>
      <w:proofErr w:type="spellStart"/>
      <w:r w:rsidRPr="00361530">
        <w:rPr>
          <w:bCs/>
          <w:color w:val="auto"/>
          <w:lang w:val="ru-RU"/>
        </w:rPr>
        <w:t>антисыворотки</w:t>
      </w:r>
      <w:proofErr w:type="spellEnd"/>
      <w:r w:rsidRPr="00361530">
        <w:rPr>
          <w:bCs/>
          <w:color w:val="auto"/>
          <w:lang w:val="ru-RU"/>
        </w:rPr>
        <w:t xml:space="preserve"> живой вакцинный штамм нейтрализуется и </w:t>
      </w:r>
      <w:proofErr w:type="spellStart"/>
      <w:r w:rsidRPr="00361530">
        <w:rPr>
          <w:bCs/>
          <w:color w:val="auto"/>
          <w:lang w:val="ru-RU"/>
        </w:rPr>
        <w:t>инокулируется</w:t>
      </w:r>
      <w:proofErr w:type="spellEnd"/>
      <w:r w:rsidRPr="00361530">
        <w:rPr>
          <w:bCs/>
          <w:color w:val="auto"/>
          <w:lang w:val="ru-RU"/>
        </w:rPr>
        <w:t xml:space="preserve"> в культуры клеток, заведомо чувствительные к вирусам, патогенным для свиней. ЦПЭ и </w:t>
      </w:r>
      <w:proofErr w:type="spellStart"/>
      <w:r w:rsidRPr="00361530">
        <w:rPr>
          <w:bCs/>
          <w:color w:val="auto"/>
          <w:lang w:val="ru-RU"/>
        </w:rPr>
        <w:t>гемадсорбирующие</w:t>
      </w:r>
      <w:proofErr w:type="spellEnd"/>
      <w:r w:rsidRPr="00361530">
        <w:rPr>
          <w:bCs/>
          <w:color w:val="auto"/>
          <w:lang w:val="ru-RU"/>
        </w:rPr>
        <w:t xml:space="preserve"> агенты не должны быть обнаружены. Вакцины не должны содержать </w:t>
      </w:r>
      <w:proofErr w:type="spellStart"/>
      <w:r w:rsidRPr="00361530">
        <w:rPr>
          <w:bCs/>
          <w:color w:val="auto"/>
          <w:lang w:val="ru-RU"/>
        </w:rPr>
        <w:t>пестивирусы</w:t>
      </w:r>
      <w:proofErr w:type="spellEnd"/>
      <w:r w:rsidRPr="00361530">
        <w:rPr>
          <w:bCs/>
          <w:color w:val="auto"/>
          <w:lang w:val="ru-RU"/>
        </w:rPr>
        <w:t>.</w:t>
      </w:r>
    </w:p>
    <w:p w14:paraId="02ADF440" w14:textId="77777777" w:rsidR="00361530" w:rsidRPr="00361530" w:rsidRDefault="00CE5718" w:rsidP="00677ED7">
      <w:pPr>
        <w:spacing w:after="0" w:line="240" w:lineRule="auto"/>
        <w:ind w:left="0" w:right="0" w:firstLine="567"/>
        <w:rPr>
          <w:bCs/>
          <w:color w:val="auto"/>
          <w:lang w:val="ru-RU"/>
        </w:rPr>
      </w:pPr>
      <w:r w:rsidRPr="00361530">
        <w:rPr>
          <w:bCs/>
          <w:color w:val="auto"/>
          <w:lang w:val="ru-RU"/>
        </w:rPr>
        <w:t>II</w:t>
      </w:r>
      <w:r w:rsidR="00361530" w:rsidRPr="00361530">
        <w:rPr>
          <w:bCs/>
          <w:color w:val="auto"/>
          <w:lang w:val="ru-RU"/>
        </w:rPr>
        <w:t>) Инактивация</w:t>
      </w:r>
    </w:p>
    <w:p w14:paraId="667FE788"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Для инактивированных вакцин инактивацию необходимо проверять с помощью двух пассажей в клеточной культуре того же типа, что и при производстве вакцины. Испытания можно проводить путем вакцинации восприимчивых животных, таких как кролики.</w:t>
      </w:r>
    </w:p>
    <w:p w14:paraId="53E233A9" w14:textId="77777777" w:rsidR="00361530" w:rsidRPr="00361530" w:rsidRDefault="00CE5718" w:rsidP="00677ED7">
      <w:pPr>
        <w:spacing w:after="0" w:line="240" w:lineRule="auto"/>
        <w:ind w:left="0" w:right="0" w:firstLine="567"/>
        <w:rPr>
          <w:bCs/>
          <w:color w:val="auto"/>
          <w:lang w:val="ru-RU"/>
        </w:rPr>
      </w:pPr>
      <w:r w:rsidRPr="00361530">
        <w:rPr>
          <w:bCs/>
          <w:color w:val="auto"/>
          <w:lang w:val="ru-RU"/>
        </w:rPr>
        <w:t>III</w:t>
      </w:r>
      <w:r w:rsidR="00361530" w:rsidRPr="00361530">
        <w:rPr>
          <w:bCs/>
          <w:color w:val="auto"/>
          <w:lang w:val="ru-RU"/>
        </w:rPr>
        <w:t>) Идентичность</w:t>
      </w:r>
    </w:p>
    <w:p w14:paraId="27E4B06A"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При необходимости следует провести специальное испытание на выявление вируса.</w:t>
      </w:r>
    </w:p>
    <w:p w14:paraId="0B509A11" w14:textId="77777777" w:rsidR="00361530" w:rsidRPr="00361530" w:rsidRDefault="00CE5718" w:rsidP="00677ED7">
      <w:pPr>
        <w:spacing w:after="0" w:line="240" w:lineRule="auto"/>
        <w:ind w:left="0" w:right="0" w:firstLine="567"/>
        <w:rPr>
          <w:bCs/>
          <w:color w:val="auto"/>
          <w:lang w:val="ru-RU"/>
        </w:rPr>
      </w:pPr>
      <w:r w:rsidRPr="00361530">
        <w:rPr>
          <w:bCs/>
          <w:color w:val="auto"/>
          <w:lang w:val="ru-RU"/>
        </w:rPr>
        <w:t>IV</w:t>
      </w:r>
      <w:r w:rsidR="00361530" w:rsidRPr="00361530">
        <w:rPr>
          <w:bCs/>
          <w:color w:val="auto"/>
          <w:lang w:val="ru-RU"/>
        </w:rPr>
        <w:t>) Безопасность</w:t>
      </w:r>
    </w:p>
    <w:p w14:paraId="2E334390"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Многие регулирующие органы не требуют испытаний безопасности на целевых животных для выпуска каждой партии. Там, где это необходимо, стандартные процедуры должны быть статистически значимыми и нацелены на наименьшее количество животных, необходимое для получения соответствующего разрешения регулирующих органов.</w:t>
      </w:r>
    </w:p>
    <w:p w14:paraId="7FB3A66D" w14:textId="77777777" w:rsidR="00361530" w:rsidRPr="00361530" w:rsidRDefault="00CE5718" w:rsidP="00677ED7">
      <w:pPr>
        <w:spacing w:after="0" w:line="240" w:lineRule="auto"/>
        <w:ind w:left="0" w:right="0" w:firstLine="567"/>
        <w:rPr>
          <w:bCs/>
          <w:color w:val="auto"/>
          <w:lang w:val="ru-RU"/>
        </w:rPr>
      </w:pPr>
      <w:r w:rsidRPr="00361530">
        <w:rPr>
          <w:bCs/>
          <w:color w:val="auto"/>
          <w:lang w:val="ru-RU"/>
        </w:rPr>
        <w:t>V</w:t>
      </w:r>
      <w:r w:rsidR="00361530" w:rsidRPr="00361530">
        <w:rPr>
          <w:bCs/>
          <w:color w:val="auto"/>
          <w:lang w:val="ru-RU"/>
        </w:rPr>
        <w:t>) Активность партии</w:t>
      </w:r>
    </w:p>
    <w:p w14:paraId="2A04AFDD"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Активность вакцины должна быть продемонстрирована с использованием подходящего метода, результаты которого должны быть сопоставлены с ранее описанными испытаниями на эффективность.</w:t>
      </w:r>
    </w:p>
    <w:p w14:paraId="10DB8C54"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В настоящем виде испытаний наиболее сложным моментом является определение порога приемлемости для использования или отказа от партии в соответствии с полученными результатами.</w:t>
      </w:r>
    </w:p>
    <w:p w14:paraId="51A31A3A"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Проверка на вирусное содержание должна проводиться с использованием каждого из не менее трех контейнеров. Должен быть определен титр вируса вакцины, который, как </w:t>
      </w:r>
      <w:r w:rsidRPr="00361530">
        <w:rPr>
          <w:bCs/>
          <w:color w:val="auto"/>
          <w:lang w:val="ru-RU"/>
        </w:rPr>
        <w:lastRenderedPageBreak/>
        <w:t>правило, не должен превышать 1/10 дозы, при которой было доказано, что вакцина безопасна, и не должен быть ниже минимального титра высвобождения.</w:t>
      </w:r>
    </w:p>
    <w:p w14:paraId="7932073F" w14:textId="77777777" w:rsidR="00361530" w:rsidRPr="00361530" w:rsidRDefault="00CE5718" w:rsidP="00677ED7">
      <w:pPr>
        <w:spacing w:after="0" w:line="240" w:lineRule="auto"/>
        <w:ind w:left="0" w:right="0" w:firstLine="567"/>
        <w:rPr>
          <w:bCs/>
          <w:color w:val="auto"/>
          <w:lang w:val="ru-RU"/>
        </w:rPr>
      </w:pPr>
      <w:r w:rsidRPr="00361530">
        <w:rPr>
          <w:bCs/>
          <w:color w:val="auto"/>
          <w:lang w:val="ru-RU"/>
        </w:rPr>
        <w:t>VI</w:t>
      </w:r>
      <w:r w:rsidR="00361530" w:rsidRPr="00361530">
        <w:rPr>
          <w:bCs/>
          <w:color w:val="auto"/>
          <w:lang w:val="ru-RU"/>
        </w:rPr>
        <w:t>) Консерванты</w:t>
      </w:r>
    </w:p>
    <w:p w14:paraId="0F4CF679"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Если в конечный продукт не включен консервант, производитель должен продемонстрировать, что продукт остается приемлемым в течение рекомендованного периода использования после открытия флакона.</w:t>
      </w:r>
    </w:p>
    <w:p w14:paraId="169839BB"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Должна быть продемонстрирована эффективность консервантов в </w:t>
      </w:r>
      <w:proofErr w:type="spellStart"/>
      <w:r w:rsidRPr="00361530">
        <w:rPr>
          <w:bCs/>
          <w:color w:val="auto"/>
          <w:lang w:val="ru-RU"/>
        </w:rPr>
        <w:t>многодозовых</w:t>
      </w:r>
      <w:proofErr w:type="spellEnd"/>
      <w:r w:rsidRPr="00361530">
        <w:rPr>
          <w:bCs/>
          <w:color w:val="auto"/>
          <w:lang w:val="ru-RU"/>
        </w:rPr>
        <w:t xml:space="preserve"> контейнерах. Концентрация консерванта в готовой наполненной вакцине и его стойкость в течение всего срока годности должны быть проверены.</w:t>
      </w:r>
    </w:p>
    <w:p w14:paraId="68EB7021" w14:textId="77777777" w:rsidR="00361530" w:rsidRPr="00361530" w:rsidRDefault="00CE5718" w:rsidP="00677ED7">
      <w:pPr>
        <w:spacing w:after="0" w:line="240" w:lineRule="auto"/>
        <w:ind w:left="0" w:right="0" w:firstLine="567"/>
        <w:rPr>
          <w:bCs/>
          <w:color w:val="auto"/>
          <w:lang w:val="ru-RU"/>
        </w:rPr>
      </w:pPr>
      <w:r w:rsidRPr="00361530">
        <w:rPr>
          <w:bCs/>
          <w:color w:val="auto"/>
          <w:lang w:val="ru-RU"/>
        </w:rPr>
        <w:t>VII</w:t>
      </w:r>
      <w:r w:rsidR="00361530" w:rsidRPr="00361530">
        <w:rPr>
          <w:bCs/>
          <w:color w:val="auto"/>
          <w:lang w:val="ru-RU"/>
        </w:rPr>
        <w:t>) Меры предосторожности (опасности)</w:t>
      </w:r>
    </w:p>
    <w:p w14:paraId="2B39A0D8"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Должна быть указана вся информация о возможных побочных реакциях, вызванных вакциной. Должен быть указан любой предполагаемый риск для здоровья человека, если пользователь случайно получит небольшое количество продукта. Производитель должен указать все условия применения вакцины: смешивание, разведение, хранение, асептику, длину иглы, способ введения и состояние здоровья вакцинированных животных.</w:t>
      </w:r>
    </w:p>
    <w:p w14:paraId="5CDC45CD" w14:textId="77777777" w:rsidR="00361530" w:rsidRPr="00361530" w:rsidRDefault="00361530" w:rsidP="00677ED7">
      <w:pPr>
        <w:spacing w:after="0" w:line="240" w:lineRule="auto"/>
        <w:ind w:left="0" w:right="0" w:firstLine="567"/>
        <w:rPr>
          <w:bCs/>
          <w:color w:val="auto"/>
          <w:lang w:val="ru-RU"/>
        </w:rPr>
      </w:pPr>
    </w:p>
    <w:p w14:paraId="096EA051" w14:textId="77777777" w:rsidR="00361530" w:rsidRPr="00CE5718" w:rsidRDefault="008C7058" w:rsidP="00677ED7">
      <w:pPr>
        <w:spacing w:after="0" w:line="240" w:lineRule="auto"/>
        <w:ind w:left="0" w:right="0" w:firstLine="567"/>
        <w:rPr>
          <w:b/>
          <w:color w:val="auto"/>
          <w:lang w:val="ru-RU"/>
        </w:rPr>
      </w:pPr>
      <w:r w:rsidRPr="00CE5718">
        <w:rPr>
          <w:b/>
          <w:color w:val="auto"/>
          <w:lang w:val="ru-RU"/>
        </w:rPr>
        <w:t>5</w:t>
      </w:r>
      <w:r w:rsidR="00361530" w:rsidRPr="00CE5718">
        <w:rPr>
          <w:b/>
          <w:color w:val="auto"/>
          <w:lang w:val="ru-RU"/>
        </w:rPr>
        <w:t>.2.4 Испытание стабильности</w:t>
      </w:r>
    </w:p>
    <w:p w14:paraId="74090AE8" w14:textId="77777777" w:rsidR="00CE5718" w:rsidRPr="00361530" w:rsidRDefault="00CE5718" w:rsidP="00677ED7">
      <w:pPr>
        <w:spacing w:after="0" w:line="240" w:lineRule="auto"/>
        <w:ind w:left="0" w:right="0" w:firstLine="567"/>
        <w:rPr>
          <w:bCs/>
          <w:color w:val="auto"/>
          <w:lang w:val="ru-RU"/>
        </w:rPr>
      </w:pPr>
    </w:p>
    <w:p w14:paraId="19F44B10"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Необходимо провести испытания для проверки срока годности, предложенного производителем. Настоящие испытания всегда должны быть исследованиями в реальном времени; они должны проводиться на достаточном количестве партий (не менее трех), произведенных в соответствии с описанным производственным процессом, и на продуктах, хранящихся в конечном контейнере, и обычно включают испытания на биологическую и физико-химическую стабильность. Производитель должен предоставить результаты анализов, подтверждающие предлагаемый срок годности при всех предлагаемых условиях хранения. Как правило, предлагаемый срок годности соответствует периоду, в течение которого продукт считается стабильным, минус 3 месяца.</w:t>
      </w:r>
    </w:p>
    <w:p w14:paraId="4BF06420" w14:textId="77777777" w:rsidR="00361530" w:rsidRPr="00361530" w:rsidRDefault="00361530" w:rsidP="00677ED7">
      <w:pPr>
        <w:spacing w:after="0" w:line="240" w:lineRule="auto"/>
        <w:ind w:left="0" w:right="0" w:firstLine="567"/>
        <w:rPr>
          <w:bCs/>
          <w:color w:val="auto"/>
          <w:lang w:val="ru-RU"/>
        </w:rPr>
      </w:pPr>
    </w:p>
    <w:p w14:paraId="603E0C1F" w14:textId="77777777" w:rsidR="00361530" w:rsidRPr="00CE5718" w:rsidRDefault="00DE6954" w:rsidP="00677ED7">
      <w:pPr>
        <w:spacing w:after="0" w:line="240" w:lineRule="auto"/>
        <w:ind w:left="0" w:right="0" w:firstLine="567"/>
        <w:rPr>
          <w:b/>
          <w:color w:val="auto"/>
          <w:lang w:val="ru-RU"/>
        </w:rPr>
      </w:pPr>
      <w:r>
        <w:rPr>
          <w:b/>
          <w:color w:val="auto"/>
          <w:lang w:val="ru-RU"/>
        </w:rPr>
        <w:t>6</w:t>
      </w:r>
      <w:r w:rsidR="00361530" w:rsidRPr="00CE5718">
        <w:rPr>
          <w:b/>
          <w:color w:val="auto"/>
          <w:lang w:val="ru-RU"/>
        </w:rPr>
        <w:t>.3 Требования к получению разрешения</w:t>
      </w:r>
    </w:p>
    <w:p w14:paraId="4763DBB3" w14:textId="77777777" w:rsidR="00CE5718" w:rsidRPr="00CE5718" w:rsidRDefault="00CE5718" w:rsidP="00677ED7">
      <w:pPr>
        <w:spacing w:after="0" w:line="240" w:lineRule="auto"/>
        <w:ind w:left="0" w:right="0" w:firstLine="567"/>
        <w:rPr>
          <w:b/>
          <w:color w:val="auto"/>
          <w:lang w:val="ru-RU"/>
        </w:rPr>
      </w:pPr>
    </w:p>
    <w:p w14:paraId="5CF04515" w14:textId="77777777" w:rsidR="00361530" w:rsidRPr="00CE5718" w:rsidRDefault="00DE6954" w:rsidP="00677ED7">
      <w:pPr>
        <w:spacing w:after="0" w:line="240" w:lineRule="auto"/>
        <w:ind w:left="0" w:right="0" w:firstLine="567"/>
        <w:rPr>
          <w:b/>
          <w:color w:val="auto"/>
          <w:lang w:val="ru-RU"/>
        </w:rPr>
      </w:pPr>
      <w:r>
        <w:rPr>
          <w:b/>
          <w:color w:val="auto"/>
          <w:lang w:val="ru-RU"/>
        </w:rPr>
        <w:t>6</w:t>
      </w:r>
      <w:r w:rsidR="00361530" w:rsidRPr="00CE5718">
        <w:rPr>
          <w:b/>
          <w:color w:val="auto"/>
          <w:lang w:val="ru-RU"/>
        </w:rPr>
        <w:t>.3.1 Требования к безопасности</w:t>
      </w:r>
    </w:p>
    <w:p w14:paraId="0897156B" w14:textId="77777777" w:rsidR="00CE5718" w:rsidRPr="00361530" w:rsidRDefault="00CE5718" w:rsidP="00677ED7">
      <w:pPr>
        <w:spacing w:after="0" w:line="240" w:lineRule="auto"/>
        <w:ind w:left="0" w:right="0" w:firstLine="567"/>
        <w:rPr>
          <w:bCs/>
          <w:color w:val="auto"/>
          <w:lang w:val="ru-RU"/>
        </w:rPr>
      </w:pPr>
    </w:p>
    <w:p w14:paraId="271D54BB"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Необходимо изучить местные и общие реакции. При использовании живой вакцины необходимо отличать точные свойства безопасности вакцинного штамма от свойств готового продукта, если он включает адъювант.</w:t>
      </w:r>
    </w:p>
    <w:p w14:paraId="2B485FE1"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Следует использовать объективные и количественные критерии для выявления и измерения побочных реакций; к ним относятся изменения температуры, прибавка в весе, размер помета, репродуктивная способность и т.д. для вакцинированных и контрольных групп. Испытания должны проводиться путем введения вакцины свиньям в рекомендуемой дозе и каждым рекомендуемым путем введения.</w:t>
      </w:r>
    </w:p>
    <w:p w14:paraId="1292FB54" w14:textId="77777777" w:rsidR="00361530" w:rsidRPr="00361530" w:rsidRDefault="00CE5718" w:rsidP="00677ED7">
      <w:pPr>
        <w:spacing w:after="0" w:line="240" w:lineRule="auto"/>
        <w:ind w:left="0" w:right="0" w:firstLine="567"/>
        <w:rPr>
          <w:bCs/>
          <w:color w:val="auto"/>
          <w:lang w:val="ru-RU"/>
        </w:rPr>
      </w:pPr>
      <w:r w:rsidRPr="00361530">
        <w:rPr>
          <w:bCs/>
          <w:color w:val="auto"/>
          <w:lang w:val="ru-RU"/>
        </w:rPr>
        <w:t xml:space="preserve">Безопасность </w:t>
      </w:r>
      <w:r w:rsidR="00361530" w:rsidRPr="00361530">
        <w:rPr>
          <w:bCs/>
          <w:color w:val="auto"/>
          <w:lang w:val="ru-RU"/>
        </w:rPr>
        <w:t>сначала проверяется в экспериментальных условиях в соответствии с требованиями Кодекса здоровья наземных животных МЭБ, Глава 7.8 Использование животных в исследованиях и обучении. Когда станут известны результаты настоящих предварительных испытаний, необходимо увеличить количество вакцинированных животных, чтобы оценить безопасность вакцины в практических условиях.</w:t>
      </w:r>
    </w:p>
    <w:p w14:paraId="2BC08F06" w14:textId="77777777" w:rsidR="00361530" w:rsidRPr="00361530" w:rsidRDefault="00361530" w:rsidP="00677ED7">
      <w:pPr>
        <w:spacing w:after="0" w:line="240" w:lineRule="auto"/>
        <w:ind w:left="0" w:right="0" w:firstLine="567"/>
        <w:rPr>
          <w:bCs/>
          <w:color w:val="auto"/>
          <w:lang w:val="ru-RU"/>
        </w:rPr>
      </w:pPr>
    </w:p>
    <w:p w14:paraId="153B93ED" w14:textId="77777777" w:rsidR="00361530" w:rsidRPr="00361530" w:rsidRDefault="00CE5718" w:rsidP="00677ED7">
      <w:pPr>
        <w:spacing w:after="0" w:line="240" w:lineRule="auto"/>
        <w:ind w:left="0" w:right="0" w:firstLine="567"/>
        <w:rPr>
          <w:bCs/>
          <w:color w:val="auto"/>
          <w:lang w:val="ru-RU"/>
        </w:rPr>
      </w:pPr>
      <w:r w:rsidRPr="00361530">
        <w:rPr>
          <w:bCs/>
          <w:color w:val="auto"/>
          <w:lang w:val="ru-RU"/>
        </w:rPr>
        <w:t>I</w:t>
      </w:r>
      <w:r w:rsidR="00361530" w:rsidRPr="00361530">
        <w:rPr>
          <w:bCs/>
          <w:color w:val="auto"/>
          <w:lang w:val="ru-RU"/>
        </w:rPr>
        <w:t>)</w:t>
      </w:r>
      <w:r w:rsidR="00361530" w:rsidRPr="00361530">
        <w:rPr>
          <w:bCs/>
          <w:color w:val="auto"/>
          <w:lang w:val="ru-RU"/>
        </w:rPr>
        <w:tab/>
        <w:t>Лабораторные испытания</w:t>
      </w:r>
    </w:p>
    <w:p w14:paraId="29A6AE29"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Все испытания должны проводиться на свиньях, у которых нет антител к вирусу болезни </w:t>
      </w:r>
      <w:proofErr w:type="spellStart"/>
      <w:r w:rsidRPr="00361530">
        <w:rPr>
          <w:bCs/>
          <w:color w:val="auto"/>
          <w:lang w:val="ru-RU"/>
        </w:rPr>
        <w:t>Ауески</w:t>
      </w:r>
      <w:proofErr w:type="spellEnd"/>
      <w:r w:rsidRPr="00361530">
        <w:rPr>
          <w:bCs/>
          <w:color w:val="auto"/>
          <w:lang w:val="ru-RU"/>
        </w:rPr>
        <w:t xml:space="preserve"> или к субъединице вируса.</w:t>
      </w:r>
    </w:p>
    <w:p w14:paraId="7A74242C"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а) Общие эффекты</w:t>
      </w:r>
    </w:p>
    <w:p w14:paraId="549C9E8C"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lastRenderedPageBreak/>
        <w:t>1. Живые вакцины</w:t>
      </w:r>
    </w:p>
    <w:p w14:paraId="177B56B9" w14:textId="77777777" w:rsidR="00361530" w:rsidRPr="00361530" w:rsidRDefault="00361530" w:rsidP="00677ED7">
      <w:pPr>
        <w:spacing w:after="0" w:line="240" w:lineRule="auto"/>
        <w:ind w:left="0" w:right="0" w:firstLine="567"/>
        <w:rPr>
          <w:bCs/>
          <w:color w:val="auto"/>
          <w:lang w:val="ru-RU"/>
        </w:rPr>
      </w:pPr>
      <w:proofErr w:type="spellStart"/>
      <w:r w:rsidRPr="00361530">
        <w:rPr>
          <w:bCs/>
          <w:color w:val="auto"/>
          <w:lang w:val="ru-RU"/>
        </w:rPr>
        <w:t>Интраназальные</w:t>
      </w:r>
      <w:proofErr w:type="spellEnd"/>
      <w:r w:rsidRPr="00361530">
        <w:rPr>
          <w:bCs/>
          <w:color w:val="auto"/>
          <w:lang w:val="ru-RU"/>
        </w:rPr>
        <w:t xml:space="preserve"> испытания и вакцинация поросят в возрасте от 3 до 5 дней очень полезны для установления степени безопасности штамма. Следует использовать не менее пяти поросят.</w:t>
      </w:r>
    </w:p>
    <w:p w14:paraId="71BAC654"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Также важно оценить свойства вакцины, особенно живой, у целевых животных в нормальных условиях использования и в самом молодом возрасте, предназначенном для вакцинации, т.е. свиней на откорме, которых обычно вакцинируют в возрасте от 9 до 12 недель, и супоросных свиноматок, когда такое использование вакцины заявлено производителем и разрешено. После вакцинации не должно наблюдаться никаких клинических признаков, в том числе значительных тепловых реакций (данные должны быть зарегистрированы до вакцинации и по графику, например, через 6 часов, 24 часа и 48 часов спустя, а затем ежедневно в течение периода наблюдения). Эти анализы должны быть выполнены, по меньшей мере, на десяти вакцинированных свиньях с пятью </w:t>
      </w:r>
      <w:proofErr w:type="spellStart"/>
      <w:r w:rsidRPr="00361530">
        <w:rPr>
          <w:bCs/>
          <w:color w:val="auto"/>
          <w:lang w:val="ru-RU"/>
        </w:rPr>
        <w:t>невакцинированными</w:t>
      </w:r>
      <w:proofErr w:type="spellEnd"/>
      <w:r w:rsidRPr="00361530">
        <w:rPr>
          <w:bCs/>
          <w:color w:val="auto"/>
          <w:lang w:val="ru-RU"/>
        </w:rPr>
        <w:t xml:space="preserve"> свиньями в качестве контроля.</w:t>
      </w:r>
    </w:p>
    <w:p w14:paraId="25577D87"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Необходимо изучить возврат к вирулентности после серийного пассажа. Первичную вакцинацию необходимо проводить </w:t>
      </w:r>
      <w:proofErr w:type="spellStart"/>
      <w:r w:rsidRPr="00361530">
        <w:rPr>
          <w:bCs/>
          <w:color w:val="auto"/>
          <w:lang w:val="ru-RU"/>
        </w:rPr>
        <w:t>интраназальным</w:t>
      </w:r>
      <w:proofErr w:type="spellEnd"/>
      <w:r w:rsidRPr="00361530">
        <w:rPr>
          <w:bCs/>
          <w:color w:val="auto"/>
          <w:lang w:val="ru-RU"/>
        </w:rPr>
        <w:t xml:space="preserve"> путем. Выполнить серию из не менее четырех пассажей у поросят. Для каждого пассажа необходимо использовать не менее двух полностью восприимчивых животных.</w:t>
      </w:r>
    </w:p>
    <w:p w14:paraId="28776502"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Целью настоящих анализов является проверка генетической стабильности живых вакцинных штаммов. Испытания кажутся менее необходимыми, когда речь идет о генетически модифицированном живом штамме, особенно если он получен путем удалении гена.</w:t>
      </w:r>
    </w:p>
    <w:p w14:paraId="076AC3B7"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Рекомендуется провести испытания на возможную экскрецию вакцинного штамма. Для этого не менее 14 поросят в возрасте 3–4 недель должны получить по одной дозе вакцины рекомендованным путем и в рекомендуемое место (за исключением вакцин, вводимых </w:t>
      </w:r>
      <w:proofErr w:type="spellStart"/>
      <w:r w:rsidRPr="00361530">
        <w:rPr>
          <w:bCs/>
          <w:color w:val="auto"/>
          <w:lang w:val="ru-RU"/>
        </w:rPr>
        <w:t>интраназальным</w:t>
      </w:r>
      <w:proofErr w:type="spellEnd"/>
      <w:r w:rsidRPr="00361530">
        <w:rPr>
          <w:bCs/>
          <w:color w:val="auto"/>
          <w:lang w:val="ru-RU"/>
        </w:rPr>
        <w:t xml:space="preserve"> путем). Четыре </w:t>
      </w:r>
      <w:proofErr w:type="spellStart"/>
      <w:r w:rsidRPr="00361530">
        <w:rPr>
          <w:bCs/>
          <w:color w:val="auto"/>
          <w:lang w:val="ru-RU"/>
        </w:rPr>
        <w:t>невакцинированных</w:t>
      </w:r>
      <w:proofErr w:type="spellEnd"/>
      <w:r w:rsidRPr="00361530">
        <w:rPr>
          <w:bCs/>
          <w:color w:val="auto"/>
          <w:lang w:val="ru-RU"/>
        </w:rPr>
        <w:t xml:space="preserve"> поросенка содержатся в качестве контроля. Соответствующие чувствительные испытания на вирус проводятся индивидуально на носовых и/или оральных выделениях вакцинированных и контактировавших свиней следующим образом: мазки из носа и ротовой полости необходимо собирать ежедневно в период от 1 дня до вакцинации до 10 дней после вакцинации. Вакцинные штаммы, выделенные из назального/орального секрета, собранного у свиней, которым вакцина вводилась парентеральным путем, не рекомендуются для целей эрадикации.</w:t>
      </w:r>
    </w:p>
    <w:p w14:paraId="25E2E99F"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Способность штамма вакцины против болезни </w:t>
      </w:r>
      <w:proofErr w:type="spellStart"/>
      <w:r w:rsidRPr="00361530">
        <w:rPr>
          <w:bCs/>
          <w:color w:val="auto"/>
          <w:lang w:val="ru-RU"/>
        </w:rPr>
        <w:t>Ауески</w:t>
      </w:r>
      <w:proofErr w:type="spellEnd"/>
      <w:r w:rsidRPr="00361530">
        <w:rPr>
          <w:bCs/>
          <w:color w:val="auto"/>
          <w:lang w:val="ru-RU"/>
        </w:rPr>
        <w:t xml:space="preserve"> передаваться от вакцинированных свиней к </w:t>
      </w:r>
      <w:proofErr w:type="spellStart"/>
      <w:r w:rsidRPr="00361530">
        <w:rPr>
          <w:bCs/>
          <w:color w:val="auto"/>
          <w:lang w:val="ru-RU"/>
        </w:rPr>
        <w:t>невакцинированным</w:t>
      </w:r>
      <w:proofErr w:type="spellEnd"/>
      <w:r w:rsidRPr="00361530">
        <w:rPr>
          <w:bCs/>
          <w:color w:val="auto"/>
          <w:lang w:val="ru-RU"/>
        </w:rPr>
        <w:t xml:space="preserve"> (латеральное распространение) должна быть проверена с использованием рекомендуемого пути введения, представляющего наибольший риск распространения (за исключением вакцин, вводимых </w:t>
      </w:r>
      <w:proofErr w:type="spellStart"/>
      <w:r w:rsidRPr="00361530">
        <w:rPr>
          <w:bCs/>
          <w:color w:val="auto"/>
          <w:lang w:val="ru-RU"/>
        </w:rPr>
        <w:t>интраназальным</w:t>
      </w:r>
      <w:proofErr w:type="spellEnd"/>
      <w:r w:rsidRPr="00361530">
        <w:rPr>
          <w:bCs/>
          <w:color w:val="auto"/>
          <w:lang w:val="ru-RU"/>
        </w:rPr>
        <w:t xml:space="preserve"> путем). Повторение анализов (четыре раза) необходимо, так как это явление трудно обнаружить. Четыре поросенка следует использовать каждый раз для вакцинации и помещать в контакт через 1 день с двумя </w:t>
      </w:r>
      <w:proofErr w:type="spellStart"/>
      <w:r w:rsidRPr="00361530">
        <w:rPr>
          <w:bCs/>
          <w:color w:val="auto"/>
          <w:lang w:val="ru-RU"/>
        </w:rPr>
        <w:t>невакцинированными</w:t>
      </w:r>
      <w:proofErr w:type="spellEnd"/>
      <w:r w:rsidRPr="00361530">
        <w:rPr>
          <w:bCs/>
          <w:color w:val="auto"/>
          <w:lang w:val="ru-RU"/>
        </w:rPr>
        <w:t xml:space="preserve"> поросятами.</w:t>
      </w:r>
    </w:p>
    <w:p w14:paraId="0D293DB3"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Также может быть необходимо изучить распространение штамма на нецелевые виды, которые могут быть восприимчивы к вакцинному штамму.</w:t>
      </w:r>
    </w:p>
    <w:p w14:paraId="0230B3B4"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Живые </w:t>
      </w:r>
      <w:proofErr w:type="spellStart"/>
      <w:r w:rsidRPr="00361530">
        <w:rPr>
          <w:bCs/>
          <w:color w:val="auto"/>
          <w:lang w:val="ru-RU"/>
        </w:rPr>
        <w:t>аттенюированные</w:t>
      </w:r>
      <w:proofErr w:type="spellEnd"/>
      <w:r w:rsidRPr="00361530">
        <w:rPr>
          <w:bCs/>
          <w:color w:val="auto"/>
          <w:lang w:val="ru-RU"/>
        </w:rPr>
        <w:t xml:space="preserve"> (ослабленные) вакцинные штаммы проверяются на их общее действие путем введения поросятам в возрасте от 5 до 10 дней десятикратной полевой дозы. Такое введение передозировки позволяет выявить реакции, не возникающие при нормальных условиях применения. Такие реакции могут возникать непреднамеренно при вакцинации большого количества животных. Если вакцины вводятся </w:t>
      </w:r>
      <w:proofErr w:type="spellStart"/>
      <w:r w:rsidRPr="00361530">
        <w:rPr>
          <w:bCs/>
          <w:color w:val="auto"/>
          <w:lang w:val="ru-RU"/>
        </w:rPr>
        <w:t>интраназально</w:t>
      </w:r>
      <w:proofErr w:type="spellEnd"/>
      <w:r w:rsidRPr="00361530">
        <w:rPr>
          <w:bCs/>
          <w:color w:val="auto"/>
          <w:lang w:val="ru-RU"/>
        </w:rPr>
        <w:t xml:space="preserve">, производитель должен четко указать, что вакцина будет распространяться от вакцинированных свиней к </w:t>
      </w:r>
      <w:proofErr w:type="spellStart"/>
      <w:r w:rsidRPr="00361530">
        <w:rPr>
          <w:bCs/>
          <w:color w:val="auto"/>
          <w:lang w:val="ru-RU"/>
        </w:rPr>
        <w:t>невакцинированным</w:t>
      </w:r>
      <w:proofErr w:type="spellEnd"/>
      <w:r w:rsidRPr="00361530">
        <w:rPr>
          <w:bCs/>
          <w:color w:val="auto"/>
          <w:lang w:val="ru-RU"/>
        </w:rPr>
        <w:t>.</w:t>
      </w:r>
    </w:p>
    <w:p w14:paraId="216AB24C" w14:textId="77777777" w:rsidR="00361530" w:rsidRPr="00361530" w:rsidRDefault="00361530" w:rsidP="00677ED7">
      <w:pPr>
        <w:spacing w:after="0" w:line="240" w:lineRule="auto"/>
        <w:ind w:left="0" w:right="0" w:firstLine="567"/>
        <w:rPr>
          <w:bCs/>
          <w:color w:val="auto"/>
          <w:lang w:val="ru-RU"/>
        </w:rPr>
      </w:pPr>
    </w:p>
    <w:p w14:paraId="1546C00B"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lastRenderedPageBreak/>
        <w:t>2. Инактивированные вакцины</w:t>
      </w:r>
    </w:p>
    <w:p w14:paraId="5642137A"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Крайне важно испытывать инактивированные вакцины на целевых животных в нормальных условиях использования для откормочных свиней и свиноматок, если такое использование заявлено производителем и разрешено (Европейская фармакопея, 2008 г.; </w:t>
      </w:r>
      <w:proofErr w:type="spellStart"/>
      <w:r w:rsidRPr="00361530">
        <w:rPr>
          <w:bCs/>
          <w:color w:val="auto"/>
          <w:lang w:val="ru-RU"/>
        </w:rPr>
        <w:t>Ванье</w:t>
      </w:r>
      <w:proofErr w:type="spellEnd"/>
      <w:r w:rsidRPr="00361530">
        <w:rPr>
          <w:bCs/>
          <w:color w:val="auto"/>
          <w:lang w:val="ru-RU"/>
        </w:rPr>
        <w:t xml:space="preserve"> и др., 2007 г.). Как описано выше, крайне важно использовать объективные и поддающиеся количественной оценке критерии для обнаружения и измерения побочных реакций, таких как изменения температуры, показатели массы тела, размер помета, репродуктивная способность и т. д., в вакцинированных и контрольных группах. Испытания должны проводиться путем введения вакцины в рекомендуемой дозе и каждым рекомендуемым способом введения свиньям, для которых она предназначена.</w:t>
      </w:r>
    </w:p>
    <w:p w14:paraId="3FF212FA"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Свиней или свиноматок обычно наблюдают до тех пор, пока не исчезнут дальнейшие признаки реакции на вакцину. Срок наблюдения должен быть не менее 14 дней со дня введения. Настоящий период должен быть продлен, например, когда вакцина используется у супоросных свиноматок, и необходимо оценить возможное влияние вакцины на репродуктивную функцию. При этом период наблюдения продолжается в течение всего срока беременности.</w:t>
      </w:r>
    </w:p>
    <w:p w14:paraId="44CECAA0"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Контрольные органы, как правило, требуют вакцинацию двойной дозой, чтобы с большей вероятностью выявить побочные реакции, которые могут быть на пределе обнаружения при введении однократной дозы.</w:t>
      </w:r>
    </w:p>
    <w:p w14:paraId="4C4032BE" w14:textId="77777777" w:rsidR="00361530" w:rsidRPr="00361530" w:rsidRDefault="00361530" w:rsidP="00677ED7">
      <w:pPr>
        <w:spacing w:after="0" w:line="240" w:lineRule="auto"/>
        <w:ind w:left="0" w:right="0" w:firstLine="567"/>
        <w:rPr>
          <w:bCs/>
          <w:color w:val="auto"/>
          <w:lang w:val="ru-RU"/>
        </w:rPr>
      </w:pPr>
    </w:p>
    <w:p w14:paraId="55E77BF6"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b) Местные реакции</w:t>
      </w:r>
    </w:p>
    <w:p w14:paraId="2C8B7D83"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Местные реакции часто связаны с использованием инактивированных вакцин, поскольку настоящие побочные эффекты могут быть вызваны адъювантами, особенно масляными адъювантами. Однако некоторые живые вакцины против болезни </w:t>
      </w:r>
      <w:proofErr w:type="spellStart"/>
      <w:r w:rsidRPr="00361530">
        <w:rPr>
          <w:bCs/>
          <w:color w:val="auto"/>
          <w:lang w:val="ru-RU"/>
        </w:rPr>
        <w:t>Ауески</w:t>
      </w:r>
      <w:proofErr w:type="spellEnd"/>
      <w:r w:rsidRPr="00361530">
        <w:rPr>
          <w:bCs/>
          <w:color w:val="auto"/>
          <w:lang w:val="ru-RU"/>
        </w:rPr>
        <w:t xml:space="preserve"> смешиваются с различными адъювантами, которые изменяют то, что наблюдалось в прошлом.</w:t>
      </w:r>
    </w:p>
    <w:p w14:paraId="7E5AC8B4"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Местные реакции в основном воспалительные и могут быть более или менее сложными (некротические или гнойные) в зависимости от характера используемых адъювантов и асептических условий вакцинации. Масляные адъюванты могут вызывать различные эффекты, включая мышечную дегенерацию, гранулему, фиброз и абсцесс. В дополнение к характеристике используемого масла (интенсивность реакции снижается, когда в вакцине используются </w:t>
      </w:r>
      <w:proofErr w:type="spellStart"/>
      <w:r w:rsidRPr="00361530">
        <w:rPr>
          <w:bCs/>
          <w:color w:val="auto"/>
          <w:lang w:val="ru-RU"/>
        </w:rPr>
        <w:t>метаболизируемые</w:t>
      </w:r>
      <w:proofErr w:type="spellEnd"/>
      <w:r w:rsidRPr="00361530">
        <w:rPr>
          <w:bCs/>
          <w:color w:val="auto"/>
          <w:lang w:val="ru-RU"/>
        </w:rPr>
        <w:t xml:space="preserve"> масла), эти реакции вызывает тип используемой эмульсии (вода/масло, масло/вода, вода/масло/вода) в большей или меньшей степени. Вследствие этого необходимо наблюдать за местом инъекции не только снаружи, но и путем вскрытия после убоя, особенно у свиней на откорме и в заключительной стадии откорма.</w:t>
      </w:r>
    </w:p>
    <w:p w14:paraId="7BD2917B" w14:textId="77777777" w:rsidR="00361530" w:rsidRPr="00361530" w:rsidRDefault="00361530" w:rsidP="00677ED7">
      <w:pPr>
        <w:spacing w:after="0" w:line="240" w:lineRule="auto"/>
        <w:ind w:left="0" w:right="0" w:firstLine="567"/>
        <w:rPr>
          <w:bCs/>
          <w:color w:val="auto"/>
          <w:lang w:val="ru-RU"/>
        </w:rPr>
      </w:pPr>
    </w:p>
    <w:p w14:paraId="582411B2" w14:textId="77777777" w:rsidR="00361530" w:rsidRPr="00361530" w:rsidRDefault="00CE5718" w:rsidP="00677ED7">
      <w:pPr>
        <w:spacing w:after="0" w:line="240" w:lineRule="auto"/>
        <w:ind w:left="0" w:right="0" w:firstLine="567"/>
        <w:rPr>
          <w:bCs/>
          <w:color w:val="auto"/>
          <w:lang w:val="ru-RU"/>
        </w:rPr>
      </w:pPr>
      <w:r w:rsidRPr="00361530">
        <w:rPr>
          <w:bCs/>
          <w:color w:val="auto"/>
          <w:lang w:val="ru-RU"/>
        </w:rPr>
        <w:t>II</w:t>
      </w:r>
      <w:r w:rsidR="00361530" w:rsidRPr="00361530">
        <w:rPr>
          <w:bCs/>
          <w:color w:val="auto"/>
          <w:lang w:val="ru-RU"/>
        </w:rPr>
        <w:t>)</w:t>
      </w:r>
      <w:r w:rsidR="00361530" w:rsidRPr="00361530">
        <w:rPr>
          <w:bCs/>
          <w:color w:val="auto"/>
          <w:lang w:val="ru-RU"/>
        </w:rPr>
        <w:tab/>
        <w:t>Полевые испытания</w:t>
      </w:r>
    </w:p>
    <w:p w14:paraId="7AC7B6CC"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Полевые испытания необходимы для оценки безопасности вакцины против болезни </w:t>
      </w:r>
      <w:proofErr w:type="spellStart"/>
      <w:r w:rsidRPr="00361530">
        <w:rPr>
          <w:bCs/>
          <w:color w:val="auto"/>
          <w:lang w:val="ru-RU"/>
        </w:rPr>
        <w:t>Ауески</w:t>
      </w:r>
      <w:proofErr w:type="spellEnd"/>
      <w:r w:rsidRPr="00361530">
        <w:rPr>
          <w:bCs/>
          <w:color w:val="auto"/>
          <w:lang w:val="ru-RU"/>
        </w:rPr>
        <w:t xml:space="preserve"> на большом количестве свиней или свиноматок. В Европе (Европейская фармакопея, 2008 г.) испытания необходимо проводить на каждой категории животных, для которых предназначена вакцина (свиноматки, поросята на откорме). Используется не менее трех групп по 20 животных в каждой с соответствующими группами из не менее 10 контрольных животных. Ректальная температура каждого животного измеряется во время вакцинации, затем через 6, 24 и 48 часов. При убое необходимо осмотреть место инъекции на наличие местных реакций. Если вакцина предназначена для свиноматок, репродуктивные показатели должны быть зарегистрированы. Полевые испытания дополняются лабораторными исследованиями эффективности вакцины.</w:t>
      </w:r>
    </w:p>
    <w:p w14:paraId="5ABCA7D8" w14:textId="77777777" w:rsidR="00361530" w:rsidRPr="00361530" w:rsidRDefault="00361530" w:rsidP="00677ED7">
      <w:pPr>
        <w:spacing w:after="0" w:line="240" w:lineRule="auto"/>
        <w:ind w:left="0" w:right="0" w:firstLine="567"/>
        <w:rPr>
          <w:bCs/>
          <w:color w:val="auto"/>
          <w:lang w:val="ru-RU"/>
        </w:rPr>
      </w:pPr>
    </w:p>
    <w:p w14:paraId="127FED80" w14:textId="77777777" w:rsidR="00361530" w:rsidRPr="00CE5718" w:rsidRDefault="00DE6954" w:rsidP="00677ED7">
      <w:pPr>
        <w:spacing w:after="0" w:line="240" w:lineRule="auto"/>
        <w:ind w:left="0" w:right="0" w:firstLine="567"/>
        <w:rPr>
          <w:b/>
          <w:color w:val="auto"/>
          <w:lang w:val="ru-RU"/>
        </w:rPr>
      </w:pPr>
      <w:r>
        <w:rPr>
          <w:b/>
          <w:color w:val="auto"/>
          <w:lang w:val="ru-RU"/>
        </w:rPr>
        <w:t>6</w:t>
      </w:r>
      <w:r w:rsidR="00361530" w:rsidRPr="00CE5718">
        <w:rPr>
          <w:b/>
          <w:color w:val="auto"/>
          <w:lang w:val="ru-RU"/>
        </w:rPr>
        <w:t>.3.2 Требования к эффективности</w:t>
      </w:r>
    </w:p>
    <w:p w14:paraId="50C70DC8" w14:textId="77777777" w:rsidR="00361530" w:rsidRPr="00361530" w:rsidRDefault="00CE5718" w:rsidP="00677ED7">
      <w:pPr>
        <w:spacing w:after="0" w:line="240" w:lineRule="auto"/>
        <w:ind w:left="0" w:right="0" w:firstLine="567"/>
        <w:rPr>
          <w:bCs/>
          <w:color w:val="auto"/>
          <w:lang w:val="ru-RU"/>
        </w:rPr>
      </w:pPr>
      <w:r w:rsidRPr="00361530">
        <w:rPr>
          <w:bCs/>
          <w:color w:val="auto"/>
          <w:lang w:val="ru-RU"/>
        </w:rPr>
        <w:lastRenderedPageBreak/>
        <w:t>I</w:t>
      </w:r>
      <w:r w:rsidR="00361530" w:rsidRPr="00361530">
        <w:rPr>
          <w:bCs/>
          <w:color w:val="auto"/>
          <w:lang w:val="ru-RU"/>
        </w:rPr>
        <w:t>) Лабораторные опыты</w:t>
      </w:r>
    </w:p>
    <w:p w14:paraId="7F689A07"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Все испытания должны проводиться на свиньях, у которых нет антител к вирусу болезни </w:t>
      </w:r>
      <w:proofErr w:type="spellStart"/>
      <w:r w:rsidRPr="00361530">
        <w:rPr>
          <w:bCs/>
          <w:color w:val="auto"/>
          <w:lang w:val="ru-RU"/>
        </w:rPr>
        <w:t>Ауески</w:t>
      </w:r>
      <w:proofErr w:type="spellEnd"/>
      <w:r w:rsidRPr="00361530">
        <w:rPr>
          <w:bCs/>
          <w:color w:val="auto"/>
          <w:lang w:val="ru-RU"/>
        </w:rPr>
        <w:t xml:space="preserve"> или к субъединице вируса, за исключением некоторых испытаний, которые могут проводиться с использованием животных с материнским иммунитетом.</w:t>
      </w:r>
    </w:p>
    <w:p w14:paraId="6AE9FFB8" w14:textId="77777777" w:rsidR="00361530" w:rsidRPr="00361530" w:rsidRDefault="00361530" w:rsidP="00677ED7">
      <w:pPr>
        <w:spacing w:after="0" w:line="240" w:lineRule="auto"/>
        <w:ind w:left="0" w:right="0" w:firstLine="567"/>
        <w:rPr>
          <w:bCs/>
          <w:color w:val="auto"/>
          <w:lang w:val="ru-RU"/>
        </w:rPr>
      </w:pPr>
    </w:p>
    <w:p w14:paraId="2E041561"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а) Оценка пассивного иммунитета</w:t>
      </w:r>
    </w:p>
    <w:p w14:paraId="6DB4F47D"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Для проверки эффективности вакцин важно имитировать естественные условия заражения (Европейская комиссия, 2008 г.). Инфекция SHV-1 приводит к значительным потерям молодых поросят от не иммунных свиноматок. Таким образом, при вакцинации свиноматок основной целью является защита молодых поросят за счет пассивного иммунитета, обеспечиваемого молозивом, проглатываемым сразу после рождения, с вторичной целью предотвращения абортов.</w:t>
      </w:r>
    </w:p>
    <w:p w14:paraId="52145FD6"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Для измерения настоящего пассивного иммунитета и защиты, вызванной вакцинацией свиноматок, были созданы экспериментальные модели. Свиноматки вакцинируются в соответствии с протоколом вакцинации во время беременности. Когда поросятам, например, 6–10 дней, им проводится </w:t>
      </w:r>
      <w:proofErr w:type="spellStart"/>
      <w:r w:rsidRPr="00361530">
        <w:rPr>
          <w:bCs/>
          <w:color w:val="auto"/>
          <w:lang w:val="ru-RU"/>
        </w:rPr>
        <w:t>интраназальное</w:t>
      </w:r>
      <w:proofErr w:type="spellEnd"/>
      <w:r w:rsidRPr="00361530">
        <w:rPr>
          <w:bCs/>
          <w:color w:val="auto"/>
          <w:lang w:val="ru-RU"/>
        </w:rPr>
        <w:t xml:space="preserve"> заражение вирулентным штаммом SHV-1. Предпочтительно использовать штамм, титрованный по средней летальной дозе (LD50). Свиней следует прививать назальным путем, 102 LD50 на свинью в 1 мл. Эффективность вакцины оценивается путем сравнения клинических признаков, а также, что более важно, смертности или гуманной эвтаназии у поросят от </w:t>
      </w:r>
      <w:proofErr w:type="spellStart"/>
      <w:r w:rsidRPr="00361530">
        <w:rPr>
          <w:bCs/>
          <w:color w:val="auto"/>
          <w:lang w:val="ru-RU"/>
        </w:rPr>
        <w:t>невакцинированных</w:t>
      </w:r>
      <w:proofErr w:type="spellEnd"/>
      <w:r w:rsidRPr="00361530">
        <w:rPr>
          <w:bCs/>
          <w:color w:val="auto"/>
          <w:lang w:val="ru-RU"/>
        </w:rPr>
        <w:t xml:space="preserve"> маток с таковой, наблюдаемой у поросят от вакцинированных свиноматок.</w:t>
      </w:r>
    </w:p>
    <w:p w14:paraId="72AD7B77"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Было обнаружено, что поросята от вакцинированных свиноматок имеют 80% защиту от падежа по сравнению с поросятами от контрольных свиноматок. Чтобы результаты были значимыми, рекомендуется использовать восемь вакцинированных свиноматок и четыре контрольных свиноматки (при условии удовлетворительного количества поросят от каждой свиноматки).</w:t>
      </w:r>
    </w:p>
    <w:p w14:paraId="04668590" w14:textId="77777777" w:rsidR="00361530" w:rsidRPr="00361530" w:rsidRDefault="00361530" w:rsidP="00677ED7">
      <w:pPr>
        <w:spacing w:after="0" w:line="240" w:lineRule="auto"/>
        <w:ind w:left="0" w:right="0" w:firstLine="567"/>
        <w:rPr>
          <w:bCs/>
          <w:color w:val="auto"/>
          <w:lang w:val="ru-RU"/>
        </w:rPr>
      </w:pPr>
    </w:p>
    <w:p w14:paraId="6C1E8634"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b) Оценка активного иммунитета</w:t>
      </w:r>
    </w:p>
    <w:p w14:paraId="6A0F6F20"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1. Клиническая защита</w:t>
      </w:r>
    </w:p>
    <w:p w14:paraId="6D2710BD"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При измерении активного иммунитета, вызванного вакцинацией свиней, можно учитывать несколько критериев. Как правило, свиней вакцинируют в начале периода выращивания, то есть в возрасте от 9 до 12 недель. Лабораторные испытания проводятся путем контрольного заражения свиней в конце периода откорма, когда они весят от 80 до 90 кг.</w:t>
      </w:r>
    </w:p>
    <w:p w14:paraId="0EBA1501"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Как правило, по меньшей мере три критерия, такие как ректальная температура, потеря веса и клинические признаки, наряду со смертностью, используются для измерения клинической защиты свиней после вакцинации и контрольного заражения (Де </w:t>
      </w:r>
      <w:proofErr w:type="spellStart"/>
      <w:r w:rsidRPr="00361530">
        <w:rPr>
          <w:bCs/>
          <w:color w:val="auto"/>
          <w:lang w:val="ru-RU"/>
        </w:rPr>
        <w:t>Леу</w:t>
      </w:r>
      <w:proofErr w:type="spellEnd"/>
      <w:r w:rsidRPr="00361530">
        <w:rPr>
          <w:bCs/>
          <w:color w:val="auto"/>
          <w:lang w:val="ru-RU"/>
        </w:rPr>
        <w:t xml:space="preserve"> и Ван </w:t>
      </w:r>
      <w:proofErr w:type="spellStart"/>
      <w:r w:rsidRPr="00361530">
        <w:rPr>
          <w:bCs/>
          <w:color w:val="auto"/>
          <w:lang w:val="ru-RU"/>
        </w:rPr>
        <w:t>Ойршот</w:t>
      </w:r>
      <w:proofErr w:type="spellEnd"/>
      <w:r w:rsidRPr="00361530">
        <w:rPr>
          <w:bCs/>
          <w:color w:val="auto"/>
          <w:lang w:val="ru-RU"/>
        </w:rPr>
        <w:t>, 1985 г.). Титры антител имеют небольшое прогностическое значение для эффективности вакцин. Потеря веса по сравнению между вакцинированной и контрольной группами является наиболее воспроизводимым и надежным параметром, когда условия заражения хорошо стандартизированы. Измерение разницы в прибавке или потере веса между двумя группами свиней и в интервале времени между заражением (день 0 и день 7) имеет очень хорошее прогностическое значение для эффективности вакцин (</w:t>
      </w:r>
      <w:proofErr w:type="spellStart"/>
      <w:r w:rsidRPr="00361530">
        <w:rPr>
          <w:bCs/>
          <w:color w:val="auto"/>
          <w:lang w:val="ru-RU"/>
        </w:rPr>
        <w:t>Штелманн</w:t>
      </w:r>
      <w:proofErr w:type="spellEnd"/>
      <w:r w:rsidRPr="00361530">
        <w:rPr>
          <w:bCs/>
          <w:color w:val="auto"/>
          <w:lang w:val="ru-RU"/>
        </w:rPr>
        <w:t xml:space="preserve"> и др., 1989 г.). Значительные результаты могут быть получены при сравнении весовых показателей одной группы, состоящей как минимум из восьми вакцинированных свиней, и другой группы, состоящей из восьми </w:t>
      </w:r>
      <w:proofErr w:type="spellStart"/>
      <w:r w:rsidRPr="00361530">
        <w:rPr>
          <w:bCs/>
          <w:color w:val="auto"/>
          <w:lang w:val="ru-RU"/>
        </w:rPr>
        <w:t>невакцинированных</w:t>
      </w:r>
      <w:proofErr w:type="spellEnd"/>
      <w:r w:rsidRPr="00361530">
        <w:rPr>
          <w:bCs/>
          <w:color w:val="auto"/>
          <w:lang w:val="ru-RU"/>
        </w:rPr>
        <w:t xml:space="preserve"> контрольных свиней.</w:t>
      </w:r>
    </w:p>
    <w:p w14:paraId="13C48209"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Для контрольного заражения обычно предпочтительнее использовать высокий титр вирулентного штамма, так как это позволяет получить более выраженную разницу между вакцинированными и контрольными свиньями. На основании предыдущей работы может быть достаточно контрольной дозы с не менее 106 TCID50/мл вирулентного штамма, </w:t>
      </w:r>
      <w:r w:rsidRPr="00361530">
        <w:rPr>
          <w:bCs/>
          <w:color w:val="auto"/>
          <w:lang w:val="ru-RU"/>
        </w:rPr>
        <w:lastRenderedPageBreak/>
        <w:t xml:space="preserve">прошедшего не более трех пассажей на первичных клетках, но рекомендуется более высокий титр (107,5 TCID50/мл). Для заражения свиней следует использовать </w:t>
      </w:r>
      <w:proofErr w:type="spellStart"/>
      <w:r w:rsidRPr="00361530">
        <w:rPr>
          <w:bCs/>
          <w:color w:val="auto"/>
          <w:lang w:val="ru-RU"/>
        </w:rPr>
        <w:t>ороназальный</w:t>
      </w:r>
      <w:proofErr w:type="spellEnd"/>
      <w:r w:rsidRPr="00361530">
        <w:rPr>
          <w:bCs/>
          <w:color w:val="auto"/>
          <w:lang w:val="ru-RU"/>
        </w:rPr>
        <w:t xml:space="preserve"> способ путем введения вирулентного штамма в соответствующем большом объеме (≥4 мл).</w:t>
      </w:r>
    </w:p>
    <w:p w14:paraId="74BD4F5C"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Настоящий метод оценки эффективности вакцин ВГВ-1 в настоящее время хорошо апробирован и позволил установить объективный показатель для определения эффективности вакцины. Настоящий показатель, с помощью которого сравниваются относительные потери веса между вакцинированными и контрольными свиньями, также можно использовать для испытания партий перед выпуском и для проверки эффективности партий. Однако значение порогового индекса будет другим, так как условия анализа не будут идентичными. Влияние пассивно приобретенного антитела материнского происхождения на эффективность вакцины должны быть оценены надлежащим образом.</w:t>
      </w:r>
    </w:p>
    <w:p w14:paraId="1D9A7030" w14:textId="77777777" w:rsidR="00361530" w:rsidRPr="00361530" w:rsidRDefault="00361530" w:rsidP="00677ED7">
      <w:pPr>
        <w:spacing w:after="0" w:line="240" w:lineRule="auto"/>
        <w:ind w:left="0" w:right="0" w:firstLine="567"/>
        <w:rPr>
          <w:bCs/>
          <w:color w:val="auto"/>
          <w:lang w:val="ru-RU"/>
        </w:rPr>
      </w:pPr>
    </w:p>
    <w:p w14:paraId="48CEAD57"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2. Экскреция вирулентного вируса</w:t>
      </w:r>
    </w:p>
    <w:p w14:paraId="3BDCBC85"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Кроме того, желательно, чтобы вакцины предотвращали или, по меньшей мере, ограничивали выделение вируса инфицированными свиньями (</w:t>
      </w:r>
      <w:proofErr w:type="spellStart"/>
      <w:r w:rsidRPr="00361530">
        <w:rPr>
          <w:bCs/>
          <w:color w:val="auto"/>
          <w:lang w:val="ru-RU"/>
        </w:rPr>
        <w:t>Ванье</w:t>
      </w:r>
      <w:proofErr w:type="spellEnd"/>
      <w:r w:rsidRPr="00361530">
        <w:rPr>
          <w:bCs/>
          <w:color w:val="auto"/>
          <w:lang w:val="ru-RU"/>
        </w:rPr>
        <w:t xml:space="preserve"> и др., 1991 г.). Когда программа борьбы с болезнью </w:t>
      </w:r>
      <w:proofErr w:type="spellStart"/>
      <w:r w:rsidRPr="00361530">
        <w:rPr>
          <w:bCs/>
          <w:color w:val="auto"/>
          <w:lang w:val="ru-RU"/>
        </w:rPr>
        <w:t>Ауески</w:t>
      </w:r>
      <w:proofErr w:type="spellEnd"/>
      <w:r w:rsidRPr="00361530">
        <w:rPr>
          <w:bCs/>
          <w:color w:val="auto"/>
          <w:lang w:val="ru-RU"/>
        </w:rPr>
        <w:t xml:space="preserve"> основана на широкомасштабной вакцинации, важно выбрать вакцину или схему вакцинации, которые лучше всего ограничивают репликацию вирулентного вируса у инфицированных свиней. На этой основе было проведено несколько анализов для сравнения вакцин.</w:t>
      </w:r>
    </w:p>
    <w:p w14:paraId="1E3912F5"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Как правило, свиньи вакцинируются и заражаются в разные периоды. Лучше, но более трудоемко, заражать свиней в конце откормочного периода. Для измерения экскреции вируса у каждой свиньи ежедневно берут мазки из носа (взятые на глубине 10 см в ноздрях) со дня до заражения и по меньшей мере через 12 дней после заражения. Тампоны можно взвесить перед отбором пробы и сразу после него, чтобы рассчитать точный вес собранной слизи. Затем в каждую пробирку с мазком (тампоном) добавить среду. Вирус титровать из замороженной и оттаявшей среды.</w:t>
      </w:r>
    </w:p>
    <w:p w14:paraId="0E991647"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Для выражения количества вирулентного вируса, выделяемого свиньями, можно использовать различные индексы, принимая во внимание продолжительность и уровень выделения вируса, а также количество свиней, выделяющих вирулентный вирус.</w:t>
      </w:r>
    </w:p>
    <w:p w14:paraId="21F84A08" w14:textId="77777777" w:rsidR="00361530" w:rsidRPr="00361530" w:rsidRDefault="00361530" w:rsidP="00677ED7">
      <w:pPr>
        <w:spacing w:after="0" w:line="240" w:lineRule="auto"/>
        <w:ind w:left="0" w:right="0" w:firstLine="567"/>
        <w:rPr>
          <w:bCs/>
          <w:color w:val="auto"/>
          <w:lang w:val="ru-RU"/>
        </w:rPr>
      </w:pPr>
    </w:p>
    <w:p w14:paraId="4D3CDD23"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3. Продолжительность иммунитета</w:t>
      </w:r>
    </w:p>
    <w:p w14:paraId="32FC6574"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Рекомендуется, чтобы любые утверждения относительно возникновения и продолжительности иммунитета подтверждались данными испытаний. Оценка длительности иммунитета может быть основана на контрольных пробах или, насколько это возможно, на иммунологических и серологических испытаниях.</w:t>
      </w:r>
    </w:p>
    <w:p w14:paraId="17CCCF89" w14:textId="77777777" w:rsidR="00361530" w:rsidRPr="00361530" w:rsidRDefault="00361530" w:rsidP="00677ED7">
      <w:pPr>
        <w:spacing w:after="0" w:line="240" w:lineRule="auto"/>
        <w:ind w:left="0" w:right="0" w:firstLine="567"/>
        <w:rPr>
          <w:bCs/>
          <w:color w:val="auto"/>
          <w:lang w:val="ru-RU"/>
        </w:rPr>
      </w:pPr>
    </w:p>
    <w:p w14:paraId="27427DAF" w14:textId="77777777" w:rsidR="00361530" w:rsidRPr="00361530" w:rsidRDefault="00CE5718" w:rsidP="00677ED7">
      <w:pPr>
        <w:spacing w:after="0" w:line="240" w:lineRule="auto"/>
        <w:ind w:left="0" w:right="0" w:firstLine="567"/>
        <w:rPr>
          <w:bCs/>
          <w:color w:val="auto"/>
          <w:lang w:val="ru-RU"/>
        </w:rPr>
      </w:pPr>
      <w:r w:rsidRPr="00361530">
        <w:rPr>
          <w:bCs/>
          <w:color w:val="auto"/>
          <w:lang w:val="ru-RU"/>
        </w:rPr>
        <w:t>II</w:t>
      </w:r>
      <w:r w:rsidR="00361530" w:rsidRPr="00361530">
        <w:rPr>
          <w:bCs/>
          <w:color w:val="auto"/>
          <w:lang w:val="ru-RU"/>
        </w:rPr>
        <w:t>)</w:t>
      </w:r>
      <w:r w:rsidR="00361530" w:rsidRPr="00361530">
        <w:rPr>
          <w:bCs/>
          <w:color w:val="auto"/>
          <w:lang w:val="ru-RU"/>
        </w:rPr>
        <w:tab/>
        <w:t>Полевые испытания</w:t>
      </w:r>
    </w:p>
    <w:p w14:paraId="3CDC5DEB"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В целом крайне сложно оценить эффективность вакцины в популяциях животных. Для этого необходимо было бы вакцинировать животных в отсутствие возбудителя, от которого защищает вакцина, затем дождаться момента заражения и сравнить последствия заражения у привитых животных (или потомства привитых самок) с воздействием на </w:t>
      </w:r>
      <w:proofErr w:type="spellStart"/>
      <w:r w:rsidRPr="00361530">
        <w:rPr>
          <w:bCs/>
          <w:color w:val="auto"/>
          <w:lang w:val="ru-RU"/>
        </w:rPr>
        <w:t>невакцинированных</w:t>
      </w:r>
      <w:proofErr w:type="spellEnd"/>
      <w:r w:rsidRPr="00361530">
        <w:rPr>
          <w:bCs/>
          <w:color w:val="auto"/>
          <w:lang w:val="ru-RU"/>
        </w:rPr>
        <w:t xml:space="preserve"> животных того же возраста, в том же здании и в той же партии, что и вакцинированные животные (или пассивно защищенные). Поскольку все эти условия трудно достичь в полевых условиях, полевые испытания, безусловно, больше подходят для испытания безопасности, чем для испытания эффективности, за исключением разработки вакцин DIVA, которые дают возможность оценить эффективность вакцин в полевых условиях (Бума, 2005 г.).</w:t>
      </w:r>
    </w:p>
    <w:p w14:paraId="6D0BD4D0" w14:textId="77777777" w:rsidR="00361530" w:rsidRPr="00361530" w:rsidRDefault="00361530" w:rsidP="00677ED7">
      <w:pPr>
        <w:spacing w:after="0" w:line="240" w:lineRule="auto"/>
        <w:ind w:left="0" w:right="0" w:firstLine="567"/>
        <w:rPr>
          <w:bCs/>
          <w:color w:val="auto"/>
          <w:lang w:val="ru-RU"/>
        </w:rPr>
      </w:pPr>
    </w:p>
    <w:p w14:paraId="79F02499" w14:textId="77777777" w:rsidR="00361530" w:rsidRDefault="00DE6954" w:rsidP="00677ED7">
      <w:pPr>
        <w:spacing w:after="0" w:line="240" w:lineRule="auto"/>
        <w:ind w:left="0" w:right="0" w:firstLine="567"/>
        <w:rPr>
          <w:b/>
          <w:color w:val="auto"/>
          <w:lang w:val="ru-RU"/>
        </w:rPr>
      </w:pPr>
      <w:r>
        <w:rPr>
          <w:b/>
          <w:color w:val="auto"/>
          <w:lang w:val="ru-RU"/>
        </w:rPr>
        <w:t>6</w:t>
      </w:r>
      <w:r w:rsidR="00361530" w:rsidRPr="00CE5718">
        <w:rPr>
          <w:b/>
          <w:color w:val="auto"/>
          <w:lang w:val="ru-RU"/>
        </w:rPr>
        <w:t>.3.3 Стабильность</w:t>
      </w:r>
    </w:p>
    <w:p w14:paraId="0CB8F74C" w14:textId="77777777" w:rsidR="00CE5718" w:rsidRPr="00CE5718" w:rsidRDefault="00CE5718" w:rsidP="00677ED7">
      <w:pPr>
        <w:spacing w:after="0" w:line="240" w:lineRule="auto"/>
        <w:ind w:left="0" w:right="0" w:firstLine="567"/>
        <w:rPr>
          <w:b/>
          <w:color w:val="auto"/>
          <w:lang w:val="ru-RU"/>
        </w:rPr>
      </w:pPr>
    </w:p>
    <w:p w14:paraId="2EF3DFE0"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Необходимо провести испытания для проверки срока годности, предложенного производителем. Настоящие испытания всегда должны быть исследованиями в реальном времени; они должны проводиться на достаточном количестве партий (не менее трех), выполненных в соответствии с описанным производственным процессом, и на продуктах, хранящихся в конечном контейнере, и обычно включают испытания на биологическую и физико-химическую стабильность. Производитель должен предоставить результаты анализов, подтверждающие предполагаемый срок годности при всех предполагаемых условиях хранения. Обычно предполагаемый срок годности соответствует периоду, в течение которого продукт считается стабильным, минус 3 месяца.</w:t>
      </w:r>
    </w:p>
    <w:p w14:paraId="5CE04FDE" w14:textId="77777777" w:rsidR="00CE5718" w:rsidRDefault="00CE5718" w:rsidP="00677ED7">
      <w:pPr>
        <w:spacing w:after="0" w:line="240" w:lineRule="auto"/>
        <w:ind w:left="0" w:right="0" w:firstLine="567"/>
        <w:rPr>
          <w:bCs/>
          <w:color w:val="auto"/>
          <w:lang w:val="ru-RU"/>
        </w:rPr>
      </w:pPr>
    </w:p>
    <w:p w14:paraId="2464DA08" w14:textId="77777777" w:rsidR="00361530" w:rsidRDefault="00DE6954" w:rsidP="00677ED7">
      <w:pPr>
        <w:spacing w:after="0" w:line="240" w:lineRule="auto"/>
        <w:ind w:left="0" w:right="0" w:firstLine="567"/>
        <w:rPr>
          <w:b/>
          <w:color w:val="auto"/>
          <w:lang w:val="ru-RU"/>
        </w:rPr>
      </w:pPr>
      <w:r>
        <w:rPr>
          <w:b/>
          <w:color w:val="auto"/>
          <w:lang w:val="ru-RU"/>
        </w:rPr>
        <w:t>7</w:t>
      </w:r>
      <w:r w:rsidR="00361530" w:rsidRPr="00CE5718">
        <w:rPr>
          <w:b/>
          <w:color w:val="auto"/>
          <w:lang w:val="ru-RU"/>
        </w:rPr>
        <w:t xml:space="preserve"> Вакцины, основанные на биотехнологии</w:t>
      </w:r>
    </w:p>
    <w:p w14:paraId="4C0D2B57" w14:textId="77777777" w:rsidR="00CE5718" w:rsidRPr="00CE5718" w:rsidRDefault="00CE5718" w:rsidP="00677ED7">
      <w:pPr>
        <w:spacing w:after="0" w:line="240" w:lineRule="auto"/>
        <w:ind w:left="0" w:right="0" w:firstLine="567"/>
        <w:rPr>
          <w:b/>
          <w:color w:val="auto"/>
          <w:lang w:val="ru-RU"/>
        </w:rPr>
      </w:pPr>
    </w:p>
    <w:p w14:paraId="3044788E" w14:textId="77777777" w:rsidR="00361530" w:rsidRDefault="00DE6954" w:rsidP="00677ED7">
      <w:pPr>
        <w:spacing w:after="0" w:line="240" w:lineRule="auto"/>
        <w:ind w:left="0" w:right="0" w:firstLine="567"/>
        <w:rPr>
          <w:b/>
          <w:color w:val="auto"/>
          <w:lang w:val="ru-RU"/>
        </w:rPr>
      </w:pPr>
      <w:r>
        <w:rPr>
          <w:b/>
          <w:color w:val="auto"/>
          <w:lang w:val="ru-RU"/>
        </w:rPr>
        <w:t>7</w:t>
      </w:r>
      <w:r w:rsidR="00361530" w:rsidRPr="00CE5718">
        <w:rPr>
          <w:b/>
          <w:color w:val="auto"/>
          <w:lang w:val="ru-RU"/>
        </w:rPr>
        <w:t>.1 Доступные вакцины и их преимущества</w:t>
      </w:r>
    </w:p>
    <w:p w14:paraId="4DD1B228" w14:textId="77777777" w:rsidR="00CE5718" w:rsidRPr="00CE5718" w:rsidRDefault="00CE5718" w:rsidP="00677ED7">
      <w:pPr>
        <w:spacing w:after="0" w:line="240" w:lineRule="auto"/>
        <w:ind w:left="0" w:right="0" w:firstLine="567"/>
        <w:rPr>
          <w:b/>
          <w:color w:val="auto"/>
          <w:lang w:val="ru-RU"/>
        </w:rPr>
      </w:pPr>
    </w:p>
    <w:p w14:paraId="00AC88D1" w14:textId="77777777" w:rsidR="00361530" w:rsidRPr="00361530" w:rsidRDefault="00361530" w:rsidP="00677ED7">
      <w:pPr>
        <w:spacing w:after="0" w:line="240" w:lineRule="auto"/>
        <w:ind w:left="0" w:right="0" w:firstLine="567"/>
        <w:rPr>
          <w:bCs/>
          <w:color w:val="auto"/>
          <w:lang w:val="ru-RU"/>
        </w:rPr>
      </w:pPr>
      <w:r w:rsidRPr="00361530">
        <w:rPr>
          <w:bCs/>
          <w:color w:val="auto"/>
          <w:lang w:val="ru-RU"/>
        </w:rPr>
        <w:t xml:space="preserve">Биотехнология в сочетании с более глубоким знанием функций и характеристик гликопротеинов SHV-1 помогла разработать новые вакцины. Например, Квинт и др. (1987 г.) удалил последовательность, кодирующую гликопротеин Е, из штамма NIA3. В результате была создана эффективная ДИВА-вакцина против болезни </w:t>
      </w:r>
      <w:proofErr w:type="spellStart"/>
      <w:r w:rsidRPr="00361530">
        <w:rPr>
          <w:bCs/>
          <w:color w:val="auto"/>
          <w:lang w:val="ru-RU"/>
        </w:rPr>
        <w:t>Ауески</w:t>
      </w:r>
      <w:proofErr w:type="spellEnd"/>
      <w:r w:rsidRPr="00361530">
        <w:rPr>
          <w:bCs/>
          <w:color w:val="auto"/>
          <w:lang w:val="ru-RU"/>
        </w:rPr>
        <w:t xml:space="preserve">, позволяющая дифференцировать привитых от инфицированных животных (ДИВА-вакцины). Большинство вакцин, используемых в настоящее время, получают из рекомбинантного ДНК-производного вируса с удаленным геном. Удаление генов, кодирующих гликопротеин Е, является наиболее часто используемой, что позволяет получить </w:t>
      </w:r>
      <w:proofErr w:type="spellStart"/>
      <w:r w:rsidRPr="00361530">
        <w:rPr>
          <w:bCs/>
          <w:color w:val="auto"/>
          <w:lang w:val="ru-RU"/>
        </w:rPr>
        <w:t>аттенуюрованную</w:t>
      </w:r>
      <w:proofErr w:type="spellEnd"/>
      <w:r w:rsidRPr="00361530">
        <w:rPr>
          <w:bCs/>
          <w:color w:val="auto"/>
          <w:lang w:val="ru-RU"/>
        </w:rPr>
        <w:t xml:space="preserve"> живую вирусную вакцину, но при этом защищает от клинических признаков и значительно снижает уровень выделения вируса вакцинированными и инфицированными свиньями. Из-за способности некоторых гликопротеинов SHV-1 индуцировать сильный иммунный ответ, была испытана эффективность ДНК-вакцин, состоящих из плазмиды (молекула ДНК, способная к автономному размножению), кодирующей эти гликопротеины. Действительно, вакцинация ДНК имеет ряд преимуществ: простота конструирования и стандартизированное производство плазмид, отсутствие обработки инфицированных частиц, индукция гуморального и клеточного иммунного ответа, обход материнского иммунитета. Инновационное исследование вакцинации ДНК против болезни </w:t>
      </w:r>
      <w:proofErr w:type="spellStart"/>
      <w:r w:rsidRPr="00361530">
        <w:rPr>
          <w:bCs/>
          <w:color w:val="auto"/>
          <w:lang w:val="ru-RU"/>
        </w:rPr>
        <w:t>Ауески</w:t>
      </w:r>
      <w:proofErr w:type="spellEnd"/>
      <w:r w:rsidRPr="00361530">
        <w:rPr>
          <w:bCs/>
          <w:color w:val="auto"/>
          <w:lang w:val="ru-RU"/>
        </w:rPr>
        <w:t xml:space="preserve"> было опубликовано в 1997 г. (</w:t>
      </w:r>
      <w:proofErr w:type="spellStart"/>
      <w:r w:rsidRPr="00361530">
        <w:rPr>
          <w:bCs/>
          <w:color w:val="auto"/>
          <w:lang w:val="ru-RU"/>
        </w:rPr>
        <w:t>Гердц</w:t>
      </w:r>
      <w:proofErr w:type="spellEnd"/>
      <w:r w:rsidRPr="00361530">
        <w:rPr>
          <w:bCs/>
          <w:color w:val="auto"/>
          <w:lang w:val="ru-RU"/>
        </w:rPr>
        <w:t xml:space="preserve"> и др., 1997 г.). Было показано, что использование нового поколения плазмид, усиливающих уровень транскрипции генов представляющих интерес белков (Дори и др., 2005 г.), является эффективной стратегией. Настоящие вакцины еще не поступили в продажу.</w:t>
      </w:r>
    </w:p>
    <w:p w14:paraId="76097D0F" w14:textId="77777777" w:rsidR="00361530" w:rsidRPr="00361530" w:rsidRDefault="00361530" w:rsidP="00677ED7">
      <w:pPr>
        <w:spacing w:after="0" w:line="240" w:lineRule="auto"/>
        <w:ind w:left="0" w:right="0" w:firstLine="567"/>
        <w:rPr>
          <w:bCs/>
          <w:color w:val="auto"/>
          <w:lang w:val="ru-RU"/>
        </w:rPr>
      </w:pPr>
    </w:p>
    <w:p w14:paraId="650F9F0F" w14:textId="77777777" w:rsidR="00CE5718" w:rsidRDefault="00DE6954" w:rsidP="00677ED7">
      <w:pPr>
        <w:spacing w:after="0" w:line="240" w:lineRule="auto"/>
        <w:ind w:left="0" w:right="0" w:firstLine="567"/>
        <w:rPr>
          <w:b/>
          <w:color w:val="auto"/>
          <w:lang w:val="ru-RU"/>
        </w:rPr>
      </w:pPr>
      <w:r>
        <w:rPr>
          <w:b/>
          <w:color w:val="auto"/>
          <w:lang w:val="ru-RU"/>
        </w:rPr>
        <w:t>7</w:t>
      </w:r>
      <w:r w:rsidR="00361530" w:rsidRPr="00CE5718">
        <w:rPr>
          <w:b/>
          <w:color w:val="auto"/>
          <w:lang w:val="ru-RU"/>
        </w:rPr>
        <w:t>.2 Специальные требования к биотехнологическим вакцинам</w:t>
      </w:r>
    </w:p>
    <w:p w14:paraId="2355FC82" w14:textId="77777777" w:rsidR="00CE5718" w:rsidRDefault="00CE5718" w:rsidP="00677ED7">
      <w:pPr>
        <w:spacing w:after="0" w:line="240" w:lineRule="auto"/>
        <w:ind w:left="0" w:right="0" w:firstLine="567"/>
        <w:rPr>
          <w:b/>
          <w:color w:val="auto"/>
          <w:lang w:val="ru-RU"/>
        </w:rPr>
      </w:pPr>
    </w:p>
    <w:p w14:paraId="34C4DCF2" w14:textId="77777777" w:rsidR="008A1704" w:rsidRPr="000628A1" w:rsidRDefault="00361530" w:rsidP="00CE5718">
      <w:pPr>
        <w:spacing w:after="0" w:line="240" w:lineRule="auto"/>
        <w:ind w:left="0" w:right="0" w:firstLine="567"/>
        <w:rPr>
          <w:bCs/>
          <w:color w:val="auto"/>
          <w:lang w:val="ru-RU"/>
        </w:rPr>
      </w:pPr>
      <w:r w:rsidRPr="00361530">
        <w:rPr>
          <w:bCs/>
          <w:color w:val="auto"/>
          <w:lang w:val="ru-RU"/>
        </w:rPr>
        <w:t>Критерии оценки качества, безопасности и эффективности вакцин, полученных с помощью биотехнологии, такие же, как критерии, установленные для обычных вакцин (см. раздел С.2). Тем не менее особое внимание следует уделять стабильности конструкции рекомбинантной ДНК.</w:t>
      </w:r>
    </w:p>
    <w:sectPr w:rsidR="008A1704" w:rsidRPr="000628A1" w:rsidSect="002D32D5">
      <w:headerReference w:type="first" r:id="rId14"/>
      <w:footerReference w:type="first" r:id="rId15"/>
      <w:pgSz w:w="11906" w:h="16838"/>
      <w:pgMar w:top="861" w:right="844" w:bottom="906" w:left="1702" w:header="1020" w:footer="10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E5BB" w14:textId="77777777" w:rsidR="00355296" w:rsidRDefault="00355296" w:rsidP="00536CB9">
      <w:pPr>
        <w:spacing w:after="0" w:line="240" w:lineRule="auto"/>
      </w:pPr>
      <w:r>
        <w:separator/>
      </w:r>
    </w:p>
  </w:endnote>
  <w:endnote w:type="continuationSeparator" w:id="0">
    <w:p w14:paraId="33E62312" w14:textId="77777777" w:rsidR="00355296" w:rsidRDefault="00355296" w:rsidP="0053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634193"/>
      <w:docPartObj>
        <w:docPartGallery w:val="Page Numbers (Bottom of Page)"/>
        <w:docPartUnique/>
      </w:docPartObj>
    </w:sdtPr>
    <w:sdtContent>
      <w:p w14:paraId="60C8188E" w14:textId="77777777" w:rsidR="00BE576D" w:rsidRDefault="00BE576D" w:rsidP="00FF1CD8">
        <w:pPr>
          <w:pStyle w:val="a5"/>
        </w:pPr>
        <w:r>
          <w:fldChar w:fldCharType="begin"/>
        </w:r>
        <w:r>
          <w:instrText>PAGE   \* MERGEFORMAT</w:instrText>
        </w:r>
        <w:r>
          <w:fldChar w:fldCharType="separate"/>
        </w:r>
        <w:r w:rsidR="002D32D5" w:rsidRPr="002D32D5">
          <w:rPr>
            <w:noProof/>
            <w:lang w:val="ru-RU"/>
          </w:rPr>
          <w:t>16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234893"/>
      <w:docPartObj>
        <w:docPartGallery w:val="Page Numbers (Bottom of Page)"/>
        <w:docPartUnique/>
      </w:docPartObj>
    </w:sdtPr>
    <w:sdtContent>
      <w:p w14:paraId="2B3E0297" w14:textId="77777777" w:rsidR="00BE576D" w:rsidRDefault="00BE576D" w:rsidP="00FF1CD8">
        <w:pPr>
          <w:pStyle w:val="a5"/>
          <w:jc w:val="right"/>
        </w:pPr>
        <w:r>
          <w:fldChar w:fldCharType="begin"/>
        </w:r>
        <w:r>
          <w:instrText>PAGE   \* MERGEFORMAT</w:instrText>
        </w:r>
        <w:r>
          <w:fldChar w:fldCharType="separate"/>
        </w:r>
        <w:r w:rsidR="002D32D5" w:rsidRPr="002D32D5">
          <w:rPr>
            <w:noProof/>
            <w:lang w:val="ru-RU"/>
          </w:rPr>
          <w:t>17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DB44" w14:textId="77777777" w:rsidR="002D32D5" w:rsidRDefault="002D32D5">
    <w:pPr>
      <w:pStyle w:val="a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315332"/>
      <w:docPartObj>
        <w:docPartGallery w:val="Page Numbers (Bottom of Page)"/>
        <w:docPartUnique/>
      </w:docPartObj>
    </w:sdtPr>
    <w:sdtContent>
      <w:p w14:paraId="40244331" w14:textId="77777777" w:rsidR="002D32D5" w:rsidRDefault="002D32D5">
        <w:pPr>
          <w:pStyle w:val="a5"/>
          <w:jc w:val="right"/>
        </w:pPr>
        <w:r>
          <w:fldChar w:fldCharType="begin"/>
        </w:r>
        <w:r>
          <w:instrText>PAGE   \* MERGEFORMAT</w:instrText>
        </w:r>
        <w:r>
          <w:fldChar w:fldCharType="separate"/>
        </w:r>
        <w:r w:rsidRPr="002D32D5">
          <w:rPr>
            <w:noProof/>
            <w:lang w:val="ru-RU"/>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D100C" w14:textId="77777777" w:rsidR="00355296" w:rsidRDefault="00355296" w:rsidP="00536CB9">
      <w:pPr>
        <w:spacing w:after="0" w:line="240" w:lineRule="auto"/>
      </w:pPr>
      <w:r>
        <w:separator/>
      </w:r>
    </w:p>
  </w:footnote>
  <w:footnote w:type="continuationSeparator" w:id="0">
    <w:p w14:paraId="29E7CF6F" w14:textId="77777777" w:rsidR="00355296" w:rsidRDefault="00355296" w:rsidP="00536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E423" w14:textId="77777777" w:rsidR="00BE576D" w:rsidRPr="00FF1CD8" w:rsidRDefault="00BE576D" w:rsidP="002D32D5">
    <w:pPr>
      <w:pStyle w:val="a3"/>
      <w:jc w:val="left"/>
      <w:rPr>
        <w:b/>
        <w:lang w:val="ru-RU"/>
      </w:rPr>
    </w:pPr>
    <w:r w:rsidRPr="00FF1CD8">
      <w:rPr>
        <w:b/>
        <w:lang w:val="ru-RU"/>
      </w:rPr>
      <w:t>СТ РК</w:t>
    </w:r>
  </w:p>
  <w:p w14:paraId="5635F851" w14:textId="77777777" w:rsidR="00BE576D" w:rsidRPr="00FF1CD8" w:rsidRDefault="00BE576D" w:rsidP="002D32D5">
    <w:pPr>
      <w:pStyle w:val="a3"/>
      <w:jc w:val="left"/>
      <w:rPr>
        <w:i/>
        <w:lang w:val="ru-RU"/>
      </w:rPr>
    </w:pPr>
    <w:r w:rsidRPr="00FF1CD8">
      <w:rPr>
        <w:i/>
        <w:lang w:val="ru-RU"/>
      </w:rPr>
      <w:t>(проект, редакция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0F33" w14:textId="77777777" w:rsidR="00BE576D" w:rsidRPr="00FF1CD8" w:rsidRDefault="00BE576D" w:rsidP="00FF1CD8">
    <w:pPr>
      <w:pStyle w:val="a3"/>
      <w:jc w:val="right"/>
      <w:rPr>
        <w:b/>
        <w:lang w:val="ru-RU"/>
      </w:rPr>
    </w:pPr>
    <w:r w:rsidRPr="00FF1CD8">
      <w:rPr>
        <w:b/>
        <w:lang w:val="ru-RU"/>
      </w:rPr>
      <w:t>СТ РК</w:t>
    </w:r>
  </w:p>
  <w:p w14:paraId="4CE0FA5B" w14:textId="77777777" w:rsidR="00BE576D" w:rsidRPr="00FF1CD8" w:rsidRDefault="00BE576D" w:rsidP="00FF1CD8">
    <w:pPr>
      <w:pStyle w:val="a3"/>
      <w:jc w:val="right"/>
      <w:rPr>
        <w:i/>
        <w:lang w:val="ru-RU"/>
      </w:rPr>
    </w:pPr>
    <w:r w:rsidRPr="00FF1CD8">
      <w:rPr>
        <w:i/>
        <w:lang w:val="ru-RU"/>
      </w:rPr>
      <w:t>(проект, редакция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35D29" w14:textId="77777777" w:rsidR="00BE576D" w:rsidRPr="00536CB9" w:rsidRDefault="00BE576D" w:rsidP="00536CB9">
    <w:pPr>
      <w:pStyle w:val="a3"/>
      <w:jc w:val="right"/>
      <w:rPr>
        <w:lang w:val="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53F2" w14:textId="77777777" w:rsidR="002D32D5" w:rsidRPr="00FF1CD8" w:rsidRDefault="002D32D5" w:rsidP="002D32D5">
    <w:pPr>
      <w:pStyle w:val="a3"/>
      <w:jc w:val="right"/>
      <w:rPr>
        <w:b/>
        <w:lang w:val="ru-RU"/>
      </w:rPr>
    </w:pPr>
    <w:r w:rsidRPr="00FF1CD8">
      <w:rPr>
        <w:b/>
        <w:lang w:val="ru-RU"/>
      </w:rPr>
      <w:t>СТ РК</w:t>
    </w:r>
  </w:p>
  <w:p w14:paraId="29B32403" w14:textId="77777777" w:rsidR="002D32D5" w:rsidRPr="00536CB9" w:rsidRDefault="002D32D5" w:rsidP="002D32D5">
    <w:pPr>
      <w:pStyle w:val="a3"/>
      <w:jc w:val="right"/>
      <w:rPr>
        <w:lang w:val="ru-RU"/>
      </w:rPr>
    </w:pPr>
    <w:r w:rsidRPr="00FF1CD8">
      <w:rPr>
        <w:i/>
        <w:lang w:val="ru-RU"/>
      </w:rPr>
      <w:t>(проект, редакция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31E66"/>
    <w:multiLevelType w:val="hybridMultilevel"/>
    <w:tmpl w:val="C816809A"/>
    <w:lvl w:ilvl="0" w:tplc="F4D67828">
      <w:start w:val="3"/>
      <w:numFmt w:val="lowerRoman"/>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5683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4437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4AB7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AC8F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C60D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D8A3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A435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863F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AE2F7B"/>
    <w:multiLevelType w:val="hybridMultilevel"/>
    <w:tmpl w:val="6FD0EFE8"/>
    <w:lvl w:ilvl="0" w:tplc="54269104">
      <w:start w:val="3"/>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485F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54D7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80221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E873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8C40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B0DAD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1074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F4DEA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293537"/>
    <w:multiLevelType w:val="hybridMultilevel"/>
    <w:tmpl w:val="82661470"/>
    <w:lvl w:ilvl="0" w:tplc="7CA8C7DE">
      <w:start w:val="1"/>
      <w:numFmt w:val="lowerRoman"/>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D0BF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0B5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166C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C660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AB9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4A8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495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12CC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EC3669"/>
    <w:multiLevelType w:val="hybridMultilevel"/>
    <w:tmpl w:val="54B2A494"/>
    <w:lvl w:ilvl="0" w:tplc="2FCC03DA">
      <w:start w:val="3"/>
      <w:numFmt w:val="lowerRoman"/>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469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DA68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DE23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0A2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824E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561E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327C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6E0D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A3632B"/>
    <w:multiLevelType w:val="hybridMultilevel"/>
    <w:tmpl w:val="1C542D06"/>
    <w:lvl w:ilvl="0" w:tplc="42A4F47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15:restartNumberingAfterBreak="0">
    <w:nsid w:val="5B546641"/>
    <w:multiLevelType w:val="hybridMultilevel"/>
    <w:tmpl w:val="518A8018"/>
    <w:lvl w:ilvl="0" w:tplc="9E98D082">
      <w:start w:val="1"/>
      <w:numFmt w:val="lowerRoman"/>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A293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4C1C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5C6A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EA6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04F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A26A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631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DE9F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D3354A6"/>
    <w:multiLevelType w:val="multilevel"/>
    <w:tmpl w:val="67244FC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445854982">
    <w:abstractNumId w:val="1"/>
  </w:num>
  <w:num w:numId="2" w16cid:durableId="1474761880">
    <w:abstractNumId w:val="3"/>
  </w:num>
  <w:num w:numId="3" w16cid:durableId="97062213">
    <w:abstractNumId w:val="0"/>
  </w:num>
  <w:num w:numId="4" w16cid:durableId="145362870">
    <w:abstractNumId w:val="2"/>
  </w:num>
  <w:num w:numId="5" w16cid:durableId="1250776519">
    <w:abstractNumId w:val="5"/>
  </w:num>
  <w:num w:numId="6" w16cid:durableId="1524711394">
    <w:abstractNumId w:val="6"/>
  </w:num>
  <w:num w:numId="7" w16cid:durableId="794100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64"/>
    <w:rsid w:val="000628A1"/>
    <w:rsid w:val="00072041"/>
    <w:rsid w:val="00112952"/>
    <w:rsid w:val="00130064"/>
    <w:rsid w:val="00151B8B"/>
    <w:rsid w:val="001E48AB"/>
    <w:rsid w:val="0025231C"/>
    <w:rsid w:val="00254FCC"/>
    <w:rsid w:val="002D32D5"/>
    <w:rsid w:val="00334C73"/>
    <w:rsid w:val="00355296"/>
    <w:rsid w:val="00361530"/>
    <w:rsid w:val="003D53DC"/>
    <w:rsid w:val="0049032D"/>
    <w:rsid w:val="0050350E"/>
    <w:rsid w:val="00536CB9"/>
    <w:rsid w:val="00556116"/>
    <w:rsid w:val="005C4F78"/>
    <w:rsid w:val="00677ED7"/>
    <w:rsid w:val="006827AC"/>
    <w:rsid w:val="006E4316"/>
    <w:rsid w:val="00721E80"/>
    <w:rsid w:val="007771BA"/>
    <w:rsid w:val="008A1704"/>
    <w:rsid w:val="008C7058"/>
    <w:rsid w:val="00923AE6"/>
    <w:rsid w:val="00943566"/>
    <w:rsid w:val="00A461DD"/>
    <w:rsid w:val="00A73159"/>
    <w:rsid w:val="00AA2FC0"/>
    <w:rsid w:val="00AA56AD"/>
    <w:rsid w:val="00AB7142"/>
    <w:rsid w:val="00AD0ADD"/>
    <w:rsid w:val="00AF419F"/>
    <w:rsid w:val="00BC5027"/>
    <w:rsid w:val="00BE576D"/>
    <w:rsid w:val="00C70CE7"/>
    <w:rsid w:val="00CE5718"/>
    <w:rsid w:val="00DB12B4"/>
    <w:rsid w:val="00DE6954"/>
    <w:rsid w:val="00F16206"/>
    <w:rsid w:val="00FC73A4"/>
    <w:rsid w:val="00FF1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A8B98"/>
  <w15:chartTrackingRefBased/>
  <w15:docId w15:val="{F2FB3EE2-D797-482A-8212-195946E1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CB9"/>
    <w:pPr>
      <w:spacing w:after="121" w:line="271" w:lineRule="auto"/>
      <w:ind w:left="10" w:right="3" w:hanging="10"/>
      <w:jc w:val="both"/>
    </w:pPr>
    <w:rPr>
      <w:rFonts w:ascii="Times New Roman" w:eastAsia="Times New Roman" w:hAnsi="Times New Roman" w:cs="Times New Roman"/>
      <w:color w:val="000000"/>
      <w:sz w:val="24"/>
      <w:lang w:val="en-US"/>
    </w:rPr>
  </w:style>
  <w:style w:type="paragraph" w:styleId="1">
    <w:name w:val="heading 1"/>
    <w:next w:val="a"/>
    <w:link w:val="10"/>
    <w:uiPriority w:val="9"/>
    <w:unhideWhenUsed/>
    <w:qFormat/>
    <w:rsid w:val="00536CB9"/>
    <w:pPr>
      <w:keepNext/>
      <w:keepLines/>
      <w:spacing w:after="138"/>
      <w:ind w:left="10" w:right="8" w:hanging="10"/>
      <w:jc w:val="center"/>
      <w:outlineLvl w:val="0"/>
    </w:pPr>
    <w:rPr>
      <w:rFonts w:ascii="Times New Roman" w:eastAsia="Times New Roman" w:hAnsi="Times New Roman" w:cs="Times New Roman"/>
      <w:b/>
      <w:color w:val="000000"/>
      <w:sz w:val="24"/>
      <w:lang w:val="en-US"/>
    </w:rPr>
  </w:style>
  <w:style w:type="paragraph" w:styleId="2">
    <w:name w:val="heading 2"/>
    <w:next w:val="a"/>
    <w:link w:val="20"/>
    <w:uiPriority w:val="9"/>
    <w:unhideWhenUsed/>
    <w:qFormat/>
    <w:rsid w:val="00536CB9"/>
    <w:pPr>
      <w:keepNext/>
      <w:keepLines/>
      <w:spacing w:after="182"/>
      <w:ind w:left="10" w:right="8" w:hanging="10"/>
      <w:outlineLvl w:val="1"/>
    </w:pPr>
    <w:rPr>
      <w:rFonts w:ascii="Times New Roman" w:eastAsia="Times New Roman" w:hAnsi="Times New Roman" w:cs="Times New Roman"/>
      <w:b/>
      <w:color w:val="000000"/>
      <w:sz w:val="24"/>
      <w:lang w:val="en-US"/>
    </w:rPr>
  </w:style>
  <w:style w:type="paragraph" w:styleId="3">
    <w:name w:val="heading 3"/>
    <w:next w:val="a"/>
    <w:link w:val="30"/>
    <w:uiPriority w:val="9"/>
    <w:unhideWhenUsed/>
    <w:qFormat/>
    <w:rsid w:val="00536CB9"/>
    <w:pPr>
      <w:keepNext/>
      <w:keepLines/>
      <w:spacing w:after="182"/>
      <w:ind w:left="10" w:right="8" w:hanging="10"/>
      <w:outlineLvl w:val="2"/>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6CB9"/>
    <w:rPr>
      <w:rFonts w:ascii="Times New Roman" w:eastAsia="Times New Roman" w:hAnsi="Times New Roman" w:cs="Times New Roman"/>
      <w:b/>
      <w:color w:val="000000"/>
      <w:sz w:val="24"/>
      <w:lang w:val="en-US"/>
    </w:rPr>
  </w:style>
  <w:style w:type="character" w:customStyle="1" w:styleId="20">
    <w:name w:val="Заголовок 2 Знак"/>
    <w:basedOn w:val="a0"/>
    <w:link w:val="2"/>
    <w:uiPriority w:val="9"/>
    <w:rsid w:val="00536CB9"/>
    <w:rPr>
      <w:rFonts w:ascii="Times New Roman" w:eastAsia="Times New Roman" w:hAnsi="Times New Roman" w:cs="Times New Roman"/>
      <w:b/>
      <w:color w:val="000000"/>
      <w:sz w:val="24"/>
      <w:lang w:val="en-US"/>
    </w:rPr>
  </w:style>
  <w:style w:type="character" w:customStyle="1" w:styleId="30">
    <w:name w:val="Заголовок 3 Знак"/>
    <w:basedOn w:val="a0"/>
    <w:link w:val="3"/>
    <w:uiPriority w:val="9"/>
    <w:rsid w:val="00536CB9"/>
    <w:rPr>
      <w:rFonts w:ascii="Times New Roman" w:eastAsia="Times New Roman" w:hAnsi="Times New Roman" w:cs="Times New Roman"/>
      <w:b/>
      <w:color w:val="000000"/>
      <w:sz w:val="24"/>
      <w:lang w:val="en-US"/>
    </w:rPr>
  </w:style>
  <w:style w:type="paragraph" w:customStyle="1" w:styleId="TableParagraph">
    <w:name w:val="Table Paragraph"/>
    <w:basedOn w:val="a"/>
    <w:uiPriority w:val="1"/>
    <w:qFormat/>
    <w:rsid w:val="00536CB9"/>
    <w:pPr>
      <w:widowControl w:val="0"/>
      <w:autoSpaceDE w:val="0"/>
      <w:autoSpaceDN w:val="0"/>
      <w:spacing w:after="0" w:line="240" w:lineRule="auto"/>
      <w:ind w:left="0" w:right="0" w:firstLine="0"/>
      <w:jc w:val="center"/>
    </w:pPr>
    <w:rPr>
      <w:color w:val="auto"/>
      <w:sz w:val="22"/>
      <w:lang w:val="ru-RU"/>
    </w:rPr>
  </w:style>
  <w:style w:type="paragraph" w:customStyle="1" w:styleId="CM15">
    <w:name w:val="CM15"/>
    <w:basedOn w:val="a"/>
    <w:next w:val="a"/>
    <w:uiPriority w:val="99"/>
    <w:rsid w:val="00536CB9"/>
    <w:pPr>
      <w:widowControl w:val="0"/>
      <w:autoSpaceDE w:val="0"/>
      <w:autoSpaceDN w:val="0"/>
      <w:adjustRightInd w:val="0"/>
      <w:spacing w:after="323" w:line="240" w:lineRule="auto"/>
      <w:ind w:left="0" w:right="0" w:firstLine="0"/>
      <w:jc w:val="left"/>
    </w:pPr>
    <w:rPr>
      <w:color w:val="auto"/>
      <w:szCs w:val="24"/>
      <w:lang w:val="ru-RU" w:eastAsia="ru-RU"/>
    </w:rPr>
  </w:style>
  <w:style w:type="paragraph" w:customStyle="1" w:styleId="Style14">
    <w:name w:val="Style14"/>
    <w:basedOn w:val="a"/>
    <w:uiPriority w:val="99"/>
    <w:rsid w:val="00536CB9"/>
    <w:pPr>
      <w:widowControl w:val="0"/>
      <w:autoSpaceDE w:val="0"/>
      <w:autoSpaceDN w:val="0"/>
      <w:adjustRightInd w:val="0"/>
      <w:spacing w:after="0" w:line="240" w:lineRule="auto"/>
      <w:ind w:left="0" w:right="0" w:firstLine="0"/>
      <w:jc w:val="left"/>
    </w:pPr>
    <w:rPr>
      <w:rFonts w:ascii="Arial Unicode MS" w:hAnsi="Calibri" w:cs="Arial Unicode MS"/>
      <w:color w:val="auto"/>
      <w:szCs w:val="24"/>
      <w:lang w:val="ru-RU" w:eastAsia="ru-RU"/>
    </w:rPr>
  </w:style>
  <w:style w:type="character" w:customStyle="1" w:styleId="FontStyle51">
    <w:name w:val="Font Style51"/>
    <w:uiPriority w:val="99"/>
    <w:rsid w:val="00536CB9"/>
    <w:rPr>
      <w:rFonts w:ascii="Arial Unicode MS" w:eastAsia="Times New Roman"/>
      <w:b/>
      <w:color w:val="000000"/>
      <w:sz w:val="28"/>
    </w:rPr>
  </w:style>
  <w:style w:type="paragraph" w:customStyle="1" w:styleId="Style16">
    <w:name w:val="Style16"/>
    <w:basedOn w:val="a"/>
    <w:uiPriority w:val="99"/>
    <w:rsid w:val="00536CB9"/>
    <w:pPr>
      <w:widowControl w:val="0"/>
      <w:autoSpaceDE w:val="0"/>
      <w:autoSpaceDN w:val="0"/>
      <w:adjustRightInd w:val="0"/>
      <w:spacing w:after="0" w:line="240" w:lineRule="auto"/>
      <w:ind w:left="0" w:right="0" w:firstLine="0"/>
    </w:pPr>
    <w:rPr>
      <w:rFonts w:ascii="Arial" w:hAnsi="Arial" w:cs="Arial"/>
      <w:color w:val="auto"/>
      <w:szCs w:val="24"/>
      <w:lang w:val="ru-RU" w:eastAsia="ru-RU"/>
    </w:rPr>
  </w:style>
  <w:style w:type="character" w:customStyle="1" w:styleId="FontStyle59">
    <w:name w:val="Font Style59"/>
    <w:uiPriority w:val="99"/>
    <w:rsid w:val="00536CB9"/>
    <w:rPr>
      <w:rFonts w:ascii="Arial" w:hAnsi="Arial"/>
      <w:b/>
      <w:color w:val="000000"/>
      <w:sz w:val="26"/>
    </w:rPr>
  </w:style>
  <w:style w:type="character" w:customStyle="1" w:styleId="FontStyle74">
    <w:name w:val="Font Style74"/>
    <w:rsid w:val="00536CB9"/>
    <w:rPr>
      <w:rFonts w:ascii="Arial Unicode MS" w:eastAsia="Times New Roman"/>
      <w:color w:val="000000"/>
      <w:sz w:val="18"/>
    </w:rPr>
  </w:style>
  <w:style w:type="paragraph" w:styleId="a3">
    <w:name w:val="header"/>
    <w:basedOn w:val="a"/>
    <w:link w:val="a4"/>
    <w:uiPriority w:val="99"/>
    <w:unhideWhenUsed/>
    <w:rsid w:val="00536C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6CB9"/>
    <w:rPr>
      <w:rFonts w:ascii="Times New Roman" w:eastAsia="Times New Roman" w:hAnsi="Times New Roman" w:cs="Times New Roman"/>
      <w:color w:val="000000"/>
      <w:sz w:val="24"/>
      <w:lang w:val="en-US"/>
    </w:rPr>
  </w:style>
  <w:style w:type="paragraph" w:styleId="a5">
    <w:name w:val="footer"/>
    <w:basedOn w:val="a"/>
    <w:link w:val="a6"/>
    <w:uiPriority w:val="99"/>
    <w:unhideWhenUsed/>
    <w:rsid w:val="00536C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6CB9"/>
    <w:rPr>
      <w:rFonts w:ascii="Times New Roman" w:eastAsia="Times New Roman" w:hAnsi="Times New Roman" w:cs="Times New Roman"/>
      <w:color w:val="000000"/>
      <w:sz w:val="24"/>
      <w:lang w:val="en-US"/>
    </w:rPr>
  </w:style>
  <w:style w:type="paragraph" w:styleId="a7">
    <w:name w:val="Normal (Web)"/>
    <w:basedOn w:val="a"/>
    <w:uiPriority w:val="99"/>
    <w:semiHidden/>
    <w:unhideWhenUsed/>
    <w:rsid w:val="00536CB9"/>
    <w:pPr>
      <w:spacing w:before="100" w:beforeAutospacing="1" w:after="100" w:afterAutospacing="1" w:line="240" w:lineRule="auto"/>
      <w:ind w:left="0" w:right="0" w:firstLine="0"/>
      <w:jc w:val="left"/>
    </w:pPr>
    <w:rPr>
      <w:color w:val="auto"/>
      <w:szCs w:val="24"/>
      <w:lang w:val="ru-RU" w:eastAsia="ru-RU"/>
    </w:rPr>
  </w:style>
  <w:style w:type="paragraph" w:styleId="a8">
    <w:name w:val="List Paragraph"/>
    <w:basedOn w:val="a"/>
    <w:uiPriority w:val="34"/>
    <w:qFormat/>
    <w:rsid w:val="003D53DC"/>
    <w:pPr>
      <w:ind w:left="720"/>
      <w:contextualSpacing/>
    </w:pPr>
  </w:style>
  <w:style w:type="table" w:customStyle="1" w:styleId="TableNormal">
    <w:name w:val="Table Normal"/>
    <w:uiPriority w:val="2"/>
    <w:semiHidden/>
    <w:unhideWhenUsed/>
    <w:qFormat/>
    <w:rsid w:val="004903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4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90709-0ECC-48B5-9E2C-4E4F65685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1</Pages>
  <Words>9315</Words>
  <Characters>53101</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dc:creator>
  <cp:keywords/>
  <dc:description/>
  <cp:lastModifiedBy>Anel Ziyatayeva</cp:lastModifiedBy>
  <cp:revision>15</cp:revision>
  <dcterms:created xsi:type="dcterms:W3CDTF">2023-06-06T10:56:00Z</dcterms:created>
  <dcterms:modified xsi:type="dcterms:W3CDTF">2023-06-23T04:45:00Z</dcterms:modified>
</cp:coreProperties>
</file>