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A0" w:rsidRPr="003337A0" w:rsidRDefault="003337A0" w:rsidP="003337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337A0" w:rsidRPr="003337A0" w:rsidRDefault="003337A0" w:rsidP="003337A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>к проекту национального стандарта</w:t>
      </w:r>
    </w:p>
    <w:p w:rsidR="003337A0" w:rsidRPr="003337A0" w:rsidRDefault="003337A0" w:rsidP="003337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>СТ РК «Птица сельскохозяйственная. Лабораторная диагностика туберкулеза птиц.  Основные положения»</w:t>
      </w:r>
    </w:p>
    <w:p w:rsidR="003337A0" w:rsidRPr="003337A0" w:rsidRDefault="003337A0" w:rsidP="00333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>1 Техническое обоснование разработки проекта документа по стандартизации</w:t>
      </w:r>
    </w:p>
    <w:p w:rsidR="003337A0" w:rsidRPr="003337A0" w:rsidRDefault="003337A0" w:rsidP="0033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 xml:space="preserve"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</w:t>
      </w:r>
      <w:proofErr w:type="spellStart"/>
      <w:r w:rsidRPr="003337A0">
        <w:rPr>
          <w:rFonts w:ascii="Times New Roman" w:eastAsia="Consolas" w:hAnsi="Times New Roman" w:cs="Times New Roman"/>
          <w:sz w:val="24"/>
          <w:szCs w:val="24"/>
        </w:rPr>
        <w:t>референтных</w:t>
      </w:r>
      <w:proofErr w:type="spellEnd"/>
      <w:r w:rsidRPr="003337A0">
        <w:rPr>
          <w:rFonts w:ascii="Times New Roman" w:eastAsia="Consolas" w:hAnsi="Times New Roman" w:cs="Times New Roman"/>
          <w:sz w:val="24"/>
          <w:szCs w:val="24"/>
        </w:rPr>
        <w:t xml:space="preserve">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 xml:space="preserve">Также, в пункте 16 (5) данных Правил указано «Методики (методы) исследований (испытаний), используемые </w:t>
      </w:r>
      <w:proofErr w:type="spellStart"/>
      <w:r w:rsidRPr="003337A0">
        <w:rPr>
          <w:rFonts w:ascii="Times New Roman" w:eastAsia="Consolas" w:hAnsi="Times New Roman" w:cs="Times New Roman"/>
          <w:sz w:val="24"/>
          <w:szCs w:val="24"/>
        </w:rPr>
        <w:t>референтной</w:t>
      </w:r>
      <w:proofErr w:type="spellEnd"/>
      <w:r w:rsidRPr="003337A0">
        <w:rPr>
          <w:rFonts w:ascii="Times New Roman" w:eastAsia="Consolas" w:hAnsi="Times New Roman" w:cs="Times New Roman"/>
          <w:sz w:val="24"/>
          <w:szCs w:val="24"/>
        </w:rPr>
        <w:t xml:space="preserve">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 xml:space="preserve">Аккредитованные испытательные центры (ИЦ) и испытательные лаборатории (ИЛ) по ГОСТ ISO/IEC 17025 должны применять соответствующие верифицированные и </w:t>
      </w:r>
      <w:proofErr w:type="spellStart"/>
      <w:r w:rsidRPr="003337A0">
        <w:rPr>
          <w:rFonts w:ascii="Times New Roman" w:eastAsia="Consolas" w:hAnsi="Times New Roman" w:cs="Times New Roman"/>
          <w:sz w:val="24"/>
          <w:szCs w:val="24"/>
        </w:rPr>
        <w:t>валидированные</w:t>
      </w:r>
      <w:proofErr w:type="spellEnd"/>
      <w:r w:rsidRPr="003337A0">
        <w:rPr>
          <w:rFonts w:ascii="Times New Roman" w:eastAsia="Consolas" w:hAnsi="Times New Roman" w:cs="Times New Roman"/>
          <w:sz w:val="24"/>
          <w:szCs w:val="24"/>
        </w:rPr>
        <w:t xml:space="preserve">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>В настоящее время лабораторной диагностики туберкулеза птиц лаборатории по диагностике применяют ГОСТ 26072-89 «Животные и птица сельскохозяйственные. Методы лабораторной диагностики туберкулеза», который введен в действие 1989 году.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>На сегодняшний день на территории Республики Казахстан отсутствует гармонизированный нормативно-технический документ, устанавливающий метод лабораторной диагностики туберкулеза птиц с учетом основных положений рекомендаций и стандартов Всемирной организации здоровья животных (ВОЗЖ).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>Целесообразность разработки стандарта обусловлена: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>- стандартизацией методов лабораторной диагностики во всех лабораториях;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sz w:val="24"/>
          <w:szCs w:val="24"/>
        </w:rPr>
        <w:t>- снижением риска заноса инфекционных заболеваний на территории РК при импорте животноводческой продукции;</w:t>
      </w:r>
    </w:p>
    <w:p w:rsidR="003337A0" w:rsidRPr="003337A0" w:rsidRDefault="003337A0" w:rsidP="003337A0">
      <w:pPr>
        <w:tabs>
          <w:tab w:val="left" w:pos="426"/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3337A0">
        <w:rPr>
          <w:rFonts w:ascii="Times New Roman" w:eastAsia="Consolas" w:hAnsi="Times New Roman" w:cs="Times New Roman"/>
          <w:b/>
          <w:bCs/>
          <w:sz w:val="24"/>
          <w:szCs w:val="24"/>
        </w:rPr>
        <w:t>- </w:t>
      </w:r>
      <w:r w:rsidRPr="003337A0">
        <w:rPr>
          <w:rFonts w:ascii="Times New Roman" w:eastAsia="Consolas" w:hAnsi="Times New Roman" w:cs="Times New Roman"/>
          <w:sz w:val="24"/>
          <w:szCs w:val="24"/>
        </w:rPr>
        <w:t>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3337A0" w:rsidRPr="003337A0" w:rsidRDefault="003337A0" w:rsidP="0033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pStyle w:val="3"/>
        <w:ind w:firstLine="709"/>
        <w:jc w:val="both"/>
        <w:rPr>
          <w:i w:val="0"/>
          <w:sz w:val="24"/>
          <w:szCs w:val="24"/>
        </w:rPr>
      </w:pPr>
      <w:r w:rsidRPr="003337A0">
        <w:rPr>
          <w:i w:val="0"/>
          <w:sz w:val="24"/>
          <w:szCs w:val="24"/>
        </w:rPr>
        <w:t xml:space="preserve">2 Основание для разработки документа по стандартизации </w:t>
      </w:r>
    </w:p>
    <w:p w:rsidR="003337A0" w:rsidRPr="003337A0" w:rsidRDefault="003337A0" w:rsidP="003337A0">
      <w:pPr>
        <w:pStyle w:val="3"/>
        <w:ind w:firstLine="709"/>
        <w:jc w:val="both"/>
        <w:rPr>
          <w:i w:val="0"/>
          <w:sz w:val="24"/>
          <w:szCs w:val="24"/>
        </w:rPr>
      </w:pPr>
    </w:p>
    <w:p w:rsidR="003337A0" w:rsidRDefault="003337A0" w:rsidP="003337A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A0">
        <w:rPr>
          <w:rFonts w:ascii="Times New Roman" w:hAnsi="Times New Roman" w:cs="Times New Roman"/>
          <w:sz w:val="24"/>
          <w:szCs w:val="24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всех изменений).</w:t>
      </w:r>
    </w:p>
    <w:p w:rsidR="003337A0" w:rsidRPr="003337A0" w:rsidRDefault="003337A0" w:rsidP="003337A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37A0" w:rsidRPr="003337A0" w:rsidRDefault="003337A0" w:rsidP="003337A0">
      <w:pPr>
        <w:pStyle w:val="1"/>
        <w:ind w:firstLine="709"/>
        <w:jc w:val="both"/>
        <w:rPr>
          <w:b/>
          <w:sz w:val="24"/>
          <w:szCs w:val="24"/>
        </w:rPr>
      </w:pPr>
      <w:r w:rsidRPr="003337A0">
        <w:rPr>
          <w:b/>
          <w:sz w:val="24"/>
          <w:szCs w:val="24"/>
        </w:rPr>
        <w:t>3 Характеристика объекта стандартизации</w:t>
      </w:r>
    </w:p>
    <w:p w:rsidR="003337A0" w:rsidRPr="003337A0" w:rsidRDefault="003337A0" w:rsidP="003337A0">
      <w:pPr>
        <w:pStyle w:val="1"/>
        <w:ind w:firstLine="709"/>
        <w:jc w:val="both"/>
        <w:rPr>
          <w:sz w:val="24"/>
          <w:szCs w:val="24"/>
        </w:rPr>
      </w:pPr>
    </w:p>
    <w:p w:rsidR="003337A0" w:rsidRPr="003337A0" w:rsidRDefault="003337A0" w:rsidP="003337A0">
      <w:pPr>
        <w:pStyle w:val="Style46"/>
        <w:widowControl/>
        <w:ind w:firstLine="709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3337A0">
        <w:rPr>
          <w:rStyle w:val="FontStyle38"/>
          <w:rFonts w:eastAsiaTheme="minorEastAsia"/>
          <w:sz w:val="24"/>
          <w:szCs w:val="24"/>
          <w:lang w:eastAsia="en-US"/>
        </w:rPr>
        <w:t xml:space="preserve">Лабораторная диагностика </w:t>
      </w:r>
      <w:r w:rsidRPr="003337A0">
        <w:rPr>
          <w:rStyle w:val="FontStyle38"/>
          <w:rFonts w:eastAsiaTheme="minorEastAsia"/>
          <w:sz w:val="24"/>
          <w:szCs w:val="24"/>
          <w:lang w:eastAsia="en-US"/>
        </w:rPr>
        <w:t>туберкулеза птиц</w:t>
      </w:r>
      <w:r w:rsidRPr="003337A0">
        <w:rPr>
          <w:rStyle w:val="FontStyle38"/>
          <w:rFonts w:eastAsiaTheme="minorEastAsia"/>
          <w:sz w:val="24"/>
          <w:szCs w:val="24"/>
          <w:lang w:eastAsia="en-US"/>
        </w:rPr>
        <w:t>.</w:t>
      </w:r>
    </w:p>
    <w:p w:rsidR="003337A0" w:rsidRPr="003337A0" w:rsidRDefault="003337A0" w:rsidP="003337A0">
      <w:pPr>
        <w:pStyle w:val="Style46"/>
        <w:widowControl/>
        <w:ind w:firstLine="709"/>
        <w:jc w:val="both"/>
        <w:rPr>
          <w:rStyle w:val="FontStyle9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3337A0" w:rsidRPr="003337A0" w:rsidRDefault="003337A0" w:rsidP="003337A0">
      <w:pPr>
        <w:pStyle w:val="1"/>
        <w:ind w:firstLine="709"/>
        <w:jc w:val="both"/>
        <w:rPr>
          <w:b/>
          <w:sz w:val="24"/>
          <w:szCs w:val="24"/>
        </w:rPr>
      </w:pPr>
      <w:r w:rsidRPr="003337A0">
        <w:rPr>
          <w:b/>
          <w:sz w:val="24"/>
          <w:szCs w:val="24"/>
        </w:rPr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3337A0" w:rsidRPr="003337A0" w:rsidRDefault="003337A0" w:rsidP="003337A0">
      <w:pPr>
        <w:pStyle w:val="1"/>
        <w:ind w:firstLine="709"/>
        <w:jc w:val="both"/>
        <w:rPr>
          <w:b/>
          <w:sz w:val="24"/>
          <w:szCs w:val="24"/>
        </w:rPr>
      </w:pPr>
    </w:p>
    <w:p w:rsidR="003337A0" w:rsidRPr="003337A0" w:rsidRDefault="003337A0" w:rsidP="003337A0">
      <w:pPr>
        <w:pStyle w:val="1"/>
        <w:ind w:firstLine="709"/>
        <w:jc w:val="both"/>
        <w:rPr>
          <w:bCs/>
          <w:sz w:val="24"/>
          <w:szCs w:val="24"/>
        </w:rPr>
      </w:pPr>
      <w:r w:rsidRPr="003337A0">
        <w:rPr>
          <w:bCs/>
          <w:sz w:val="24"/>
          <w:szCs w:val="24"/>
        </w:rPr>
        <w:t>Отсутствуют.</w:t>
      </w:r>
    </w:p>
    <w:p w:rsidR="003337A0" w:rsidRPr="003337A0" w:rsidRDefault="003337A0" w:rsidP="003337A0">
      <w:pPr>
        <w:pStyle w:val="1"/>
        <w:ind w:firstLine="709"/>
        <w:jc w:val="both"/>
        <w:rPr>
          <w:b/>
          <w:sz w:val="24"/>
          <w:szCs w:val="24"/>
        </w:rPr>
      </w:pP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Pr="003337A0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37A0">
        <w:rPr>
          <w:rFonts w:ascii="Times New Roman" w:hAnsi="Times New Roman" w:cs="Times New Roman"/>
          <w:sz w:val="24"/>
          <w:szCs w:val="24"/>
          <w:lang w:eastAsia="en-US"/>
        </w:rPr>
        <w:t>Потенциальными пользователями настоящего проекта стандарта являются: испытательные центры (ИЦ), лаборатории (ИЛ), аккредитованные по ГОСТ ISO/IEC 17025-2019, лаборатории по диагностике, научно-исследовательские учреждения и др.</w:t>
      </w:r>
      <w:r w:rsidRPr="003337A0">
        <w:rPr>
          <w:rFonts w:ascii="Times New Roman" w:hAnsi="Times New Roman" w:cs="Times New Roman"/>
          <w:sz w:val="24"/>
          <w:szCs w:val="24"/>
          <w:lang w:eastAsia="en-US"/>
        </w:rPr>
        <w:cr/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>6 Сведения о рассылке проекта документа по стандартизации на согласование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37A0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документа по стандартизации направлен на согласование государственным органам, НПП РК «</w:t>
      </w:r>
      <w:proofErr w:type="spellStart"/>
      <w:r w:rsidRPr="003337A0">
        <w:rPr>
          <w:rFonts w:ascii="Times New Roman" w:eastAsia="Times New Roman" w:hAnsi="Times New Roman" w:cs="Times New Roman"/>
          <w:sz w:val="24"/>
          <w:szCs w:val="24"/>
          <w:lang w:eastAsia="zh-CN"/>
        </w:rPr>
        <w:t>Атамекен</w:t>
      </w:r>
      <w:proofErr w:type="spellEnd"/>
      <w:r w:rsidRPr="003337A0">
        <w:rPr>
          <w:rFonts w:ascii="Times New Roman" w:eastAsia="Times New Roman" w:hAnsi="Times New Roman" w:cs="Times New Roman"/>
          <w:sz w:val="24"/>
          <w:szCs w:val="24"/>
          <w:lang w:eastAsia="zh-CN"/>
        </w:rPr>
        <w:t>», техническим комитетам по стандартизации, субъектам национальной системы стандартизации Республики Казахстан.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pStyle w:val="2"/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3337A0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3337A0" w:rsidRPr="003337A0" w:rsidRDefault="003337A0" w:rsidP="003337A0">
      <w:pPr>
        <w:pStyle w:val="2"/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37A0">
        <w:rPr>
          <w:rFonts w:ascii="Times New Roman" w:hAnsi="Times New Roman" w:cs="Times New Roman"/>
          <w:bCs/>
          <w:sz w:val="24"/>
          <w:szCs w:val="24"/>
        </w:rPr>
        <w:t>Настоящий проект стандарта разработан с учетом требований Руководство по диагностическим тестам и вакцинам для наземных животных, ВОЗЖ Глава 3.</w:t>
      </w:r>
      <w:r w:rsidR="00726902">
        <w:rPr>
          <w:rFonts w:ascii="Times New Roman" w:hAnsi="Times New Roman" w:cs="Times New Roman"/>
          <w:bCs/>
          <w:sz w:val="24"/>
          <w:szCs w:val="24"/>
        </w:rPr>
        <w:t>3.6</w:t>
      </w:r>
      <w:r w:rsidRPr="003337A0">
        <w:rPr>
          <w:rFonts w:ascii="Times New Roman" w:hAnsi="Times New Roman" w:cs="Times New Roman"/>
          <w:bCs/>
          <w:sz w:val="24"/>
          <w:szCs w:val="24"/>
        </w:rPr>
        <w:t>.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pStyle w:val="3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3337A0" w:rsidRPr="003337A0" w:rsidRDefault="003337A0" w:rsidP="003337A0">
      <w:pPr>
        <w:pStyle w:val="3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A0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A0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3337A0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3337A0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7A0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3337A0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726902" w:rsidRPr="0082206B">
          <w:rPr>
            <w:rStyle w:val="a4"/>
            <w:rFonts w:ascii="Times New Roman" w:hAnsi="Times New Roman" w:cs="Times New Roman"/>
            <w:sz w:val="24"/>
            <w:szCs w:val="24"/>
          </w:rPr>
          <w:t>a.</w:t>
        </w:r>
        <w:r w:rsidR="00726902" w:rsidRPr="0082206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ziyatayeva</w:t>
        </w:r>
        <w:r w:rsidR="00726902" w:rsidRPr="0082206B">
          <w:rPr>
            <w:rStyle w:val="a4"/>
            <w:rFonts w:ascii="Times New Roman" w:hAnsi="Times New Roman" w:cs="Times New Roman"/>
            <w:sz w:val="24"/>
            <w:szCs w:val="24"/>
          </w:rPr>
          <w:t>@ksm.kz</w:t>
        </w:r>
      </w:hyperlink>
      <w:r w:rsidRPr="003337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A0">
        <w:rPr>
          <w:rFonts w:ascii="Times New Roman" w:hAnsi="Times New Roman" w:cs="Times New Roman"/>
          <w:sz w:val="24"/>
          <w:szCs w:val="24"/>
        </w:rPr>
        <w:t>Тел.:8 (7172) 98 06 3</w:t>
      </w:r>
      <w:r w:rsidR="0072690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7A0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3337A0">
        <w:rPr>
          <w:rFonts w:ascii="Times New Roman" w:hAnsi="Times New Roman" w:cs="Times New Roman"/>
          <w:b/>
          <w:sz w:val="24"/>
          <w:szCs w:val="24"/>
        </w:rPr>
        <w:tab/>
      </w:r>
      <w:r w:rsidRPr="003337A0">
        <w:rPr>
          <w:rFonts w:ascii="Times New Roman" w:hAnsi="Times New Roman" w:cs="Times New Roman"/>
          <w:b/>
          <w:sz w:val="24"/>
          <w:szCs w:val="24"/>
        </w:rPr>
        <w:tab/>
      </w:r>
      <w:r w:rsidRPr="003337A0">
        <w:rPr>
          <w:rFonts w:ascii="Times New Roman" w:hAnsi="Times New Roman" w:cs="Times New Roman"/>
          <w:b/>
          <w:sz w:val="24"/>
          <w:szCs w:val="24"/>
        </w:rPr>
        <w:tab/>
      </w:r>
      <w:r w:rsidRPr="003337A0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Е. Амирханова</w:t>
      </w:r>
    </w:p>
    <w:p w:rsidR="003337A0" w:rsidRPr="003337A0" w:rsidRDefault="003337A0" w:rsidP="003337A0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A0" w:rsidRPr="003337A0" w:rsidRDefault="003337A0" w:rsidP="0033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70E" w:rsidRPr="003337A0" w:rsidRDefault="007C770E" w:rsidP="0033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C770E" w:rsidRPr="00333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AA1"/>
    <w:rsid w:val="000F4AA1"/>
    <w:rsid w:val="003337A0"/>
    <w:rsid w:val="00726902"/>
    <w:rsid w:val="007C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E88C8-FECD-453B-B48F-6440659E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3337A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337A0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3337A0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3337A0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333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1"/>
    <w:rsid w:val="003337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3337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337A0"/>
    <w:pPr>
      <w:spacing w:after="120" w:line="276" w:lineRule="auto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337A0"/>
    <w:rPr>
      <w:rFonts w:eastAsiaTheme="minorEastAsia"/>
      <w:sz w:val="16"/>
      <w:szCs w:val="16"/>
      <w:lang w:eastAsia="ru-RU"/>
    </w:rPr>
  </w:style>
  <w:style w:type="character" w:customStyle="1" w:styleId="FontStyle38">
    <w:name w:val="Font Style38"/>
    <w:basedOn w:val="a0"/>
    <w:uiPriority w:val="99"/>
    <w:rsid w:val="003337A0"/>
    <w:rPr>
      <w:rFonts w:ascii="Times New Roman" w:hAnsi="Times New Roman" w:cs="Times New Roman"/>
      <w:color w:val="000000"/>
      <w:sz w:val="18"/>
      <w:szCs w:val="18"/>
    </w:rPr>
  </w:style>
  <w:style w:type="character" w:styleId="a4">
    <w:name w:val="Hyperlink"/>
    <w:basedOn w:val="a0"/>
    <w:uiPriority w:val="99"/>
    <w:unhideWhenUsed/>
    <w:rsid w:val="003337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1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ziyatayev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2</cp:revision>
  <dcterms:created xsi:type="dcterms:W3CDTF">2023-06-22T04:04:00Z</dcterms:created>
  <dcterms:modified xsi:type="dcterms:W3CDTF">2023-06-22T05:09:00Z</dcterms:modified>
</cp:coreProperties>
</file>