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66E2A28" w14:textId="77777777" w:rsidR="00760D16" w:rsidRDefault="00760D16" w:rsidP="00CB7CE9">
      <w:pPr>
        <w:ind w:left="80"/>
        <w:jc w:val="center"/>
        <w:rPr>
          <w:b/>
        </w:rPr>
      </w:pPr>
    </w:p>
    <w:p w14:paraId="5A191FE8" w14:textId="56D6F191" w:rsidR="00760D16" w:rsidRDefault="004632C7" w:rsidP="00760D16">
      <w:pPr>
        <w:jc w:val="center"/>
        <w:rPr>
          <w:b/>
        </w:rPr>
      </w:pPr>
      <w:r w:rsidRPr="004632C7">
        <w:rPr>
          <w:b/>
        </w:rPr>
        <w:t>СТ РК «</w:t>
      </w:r>
      <w:r w:rsidR="00760D16">
        <w:rPr>
          <w:b/>
          <w:lang w:eastAsia="en-US"/>
        </w:rPr>
        <w:t xml:space="preserve">Автоматы игровые. </w:t>
      </w:r>
      <w:r w:rsidR="00B6441D">
        <w:rPr>
          <w:b/>
        </w:rPr>
        <w:t>Определение</w:t>
      </w:r>
      <w:r w:rsidR="00760D16" w:rsidRPr="00CB5049">
        <w:rPr>
          <w:b/>
        </w:rPr>
        <w:t xml:space="preserve"> технологически заложенного </w:t>
      </w:r>
    </w:p>
    <w:p w14:paraId="762EE5DF" w14:textId="49639394" w:rsidR="00760D16" w:rsidRPr="00CB5049" w:rsidRDefault="00760D16" w:rsidP="00760D16">
      <w:pPr>
        <w:jc w:val="center"/>
        <w:rPr>
          <w:b/>
          <w:lang w:eastAsia="en-US"/>
        </w:rPr>
      </w:pPr>
      <w:r w:rsidRPr="00CB5049">
        <w:rPr>
          <w:b/>
        </w:rPr>
        <w:t>процента выигрыша</w:t>
      </w:r>
      <w:r w:rsidR="00B6441D">
        <w:rPr>
          <w:b/>
        </w:rPr>
        <w:t>. Общие положения</w:t>
      </w:r>
      <w:r>
        <w:rPr>
          <w:b/>
        </w:rPr>
        <w:t>»</w:t>
      </w:r>
    </w:p>
    <w:p w14:paraId="495D1FEC" w14:textId="0035A4D6" w:rsidR="00CB7CE9" w:rsidRDefault="00CB7CE9" w:rsidP="006C5C08">
      <w:pPr>
        <w:ind w:left="80"/>
        <w:jc w:val="center"/>
        <w:rPr>
          <w:b/>
        </w:rPr>
      </w:pP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C02384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2899160D" w:rsidR="00092824" w:rsidRPr="00C02384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kk-KZ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  <w:r w:rsidR="00C02384">
              <w:rPr>
                <w:rStyle w:val="211pt"/>
                <w:b w:val="0"/>
                <w:sz w:val="24"/>
                <w:szCs w:val="24"/>
                <w:lang w:val="kk-KZ"/>
              </w:rPr>
              <w:t xml:space="preserve">, </w: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fldChar w:fldCharType="begin"/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 xml:space="preserve"> 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HYPERLINK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 xml:space="preserve"> "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mailto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>: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info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>@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ksm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>.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instrText>kz</w:instrText>
            </w:r>
            <w:r w:rsidR="00874EAE" w:rsidRPr="00874EAE">
              <w:rPr>
                <w:rStyle w:val="211pt"/>
                <w:b w:val="0"/>
                <w:sz w:val="24"/>
                <w:szCs w:val="24"/>
              </w:rPr>
              <w:instrText xml:space="preserve">" </w:instrText>
            </w:r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fldChar w:fldCharType="separate"/>
            </w:r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info</w:t>
            </w:r>
            <w:r w:rsidR="00874EAE" w:rsidRPr="00140C41">
              <w:rPr>
                <w:rStyle w:val="a7"/>
                <w:shd w:val="clear" w:color="auto" w:fill="FFFFFF"/>
                <w:lang w:bidi="ru-RU"/>
              </w:rPr>
              <w:t>@</w:t>
            </w:r>
            <w:proofErr w:type="spellStart"/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ksm</w:t>
            </w:r>
            <w:proofErr w:type="spellEnd"/>
            <w:r w:rsidR="00874EAE" w:rsidRPr="00140C41">
              <w:rPr>
                <w:rStyle w:val="a7"/>
                <w:shd w:val="clear" w:color="auto" w:fill="FFFFFF"/>
                <w:lang w:bidi="ru-RU"/>
              </w:rPr>
              <w:t>.</w:t>
            </w:r>
            <w:proofErr w:type="spellStart"/>
            <w:r w:rsidR="00874EAE" w:rsidRPr="00140C41">
              <w:rPr>
                <w:rStyle w:val="a7"/>
                <w:shd w:val="clear" w:color="auto" w:fill="FFFFFF"/>
                <w:lang w:val="en-US" w:bidi="ru-RU"/>
              </w:rPr>
              <w:t>kz</w:t>
            </w:r>
            <w:proofErr w:type="spellEnd"/>
            <w:r w:rsidR="00874EAE">
              <w:rPr>
                <w:rStyle w:val="211pt"/>
                <w:b w:val="0"/>
                <w:sz w:val="24"/>
                <w:szCs w:val="24"/>
                <w:lang w:val="en-US"/>
              </w:rPr>
              <w:fldChar w:fldCharType="end"/>
            </w:r>
          </w:p>
          <w:p w14:paraId="607114A9" w14:textId="5CEF1B85" w:rsidR="009D79D2" w:rsidRPr="00760D16" w:rsidRDefault="00760D16" w:rsidP="00C02384">
            <w:pPr>
              <w:jc w:val="both"/>
              <w:rPr>
                <w:bCs/>
                <w:color w:val="000000"/>
                <w:shd w:val="clear" w:color="auto" w:fill="FFFFFF"/>
                <w:lang w:val="kk-KZ" w:bidi="ru-RU"/>
              </w:rPr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К</w:t>
            </w:r>
            <w:r>
              <w:t>улешова Елена Александровна</w:t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3E641D1" w14:textId="2A3F85F4" w:rsidR="00760D16" w:rsidRPr="00760D16" w:rsidRDefault="00760D16" w:rsidP="00760D16">
            <w:pPr>
              <w:jc w:val="both"/>
              <w:rPr>
                <w:bCs/>
                <w:lang w:eastAsia="en-US"/>
              </w:rPr>
            </w:pPr>
            <w:r w:rsidRPr="00760D16">
              <w:rPr>
                <w:bCs/>
              </w:rPr>
              <w:t>СТ РК «</w:t>
            </w:r>
            <w:r w:rsidR="00B6441D">
              <w:rPr>
                <w:bCs/>
                <w:lang w:eastAsia="en-US"/>
              </w:rPr>
              <w:t>Автоматы игровые.</w:t>
            </w:r>
            <w:r w:rsidR="00B6441D">
              <w:rPr>
                <w:bCs/>
              </w:rPr>
              <w:t xml:space="preserve"> Определение</w:t>
            </w:r>
            <w:r w:rsidRPr="00760D16">
              <w:rPr>
                <w:bCs/>
              </w:rPr>
              <w:t xml:space="preserve"> технологически</w:t>
            </w:r>
            <w:r>
              <w:rPr>
                <w:bCs/>
              </w:rPr>
              <w:t xml:space="preserve"> </w:t>
            </w:r>
            <w:r w:rsidRPr="00760D16">
              <w:rPr>
                <w:bCs/>
              </w:rPr>
              <w:t>заложенного процента выигрыша»</w:t>
            </w:r>
          </w:p>
          <w:p w14:paraId="3E5EADAC" w14:textId="036090B9" w:rsidR="009D79D2" w:rsidRPr="008C6BE8" w:rsidRDefault="009D79D2" w:rsidP="002B7D69">
            <w:pPr>
              <w:jc w:val="both"/>
              <w:rPr>
                <w:highlight w:val="yellow"/>
              </w:rPr>
            </w:pP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13AF094B" w14:textId="194A6420" w:rsidR="00923B4F" w:rsidRPr="00760D16" w:rsidRDefault="00B6441D" w:rsidP="00760D16">
            <w:pPr>
              <w:rPr>
                <w:bCs/>
                <w:szCs w:val="28"/>
              </w:rPr>
            </w:pPr>
            <w:r>
              <w:rPr>
                <w:bCs/>
              </w:rPr>
              <w:t>Определение</w:t>
            </w:r>
            <w:bookmarkStart w:id="0" w:name="_GoBack"/>
            <w:bookmarkEnd w:id="0"/>
            <w:r w:rsidR="00760D16" w:rsidRPr="00760D16">
              <w:rPr>
                <w:bCs/>
              </w:rPr>
              <w:t xml:space="preserve"> технологически </w:t>
            </w:r>
            <w:r w:rsidR="00760D16">
              <w:rPr>
                <w:bCs/>
              </w:rPr>
              <w:t>з</w:t>
            </w:r>
            <w:r w:rsidR="00760D16" w:rsidRPr="00760D16">
              <w:rPr>
                <w:bCs/>
              </w:rPr>
              <w:t>аложенного процента выигрыша</w:t>
            </w:r>
          </w:p>
          <w:p w14:paraId="45BB936B" w14:textId="3C2C34E1" w:rsidR="00E272C0" w:rsidRPr="008C6BE8" w:rsidRDefault="00E272C0" w:rsidP="002B7D69">
            <w:pPr>
              <w:jc w:val="both"/>
              <w:rPr>
                <w:highlight w:val="yellow"/>
              </w:rPr>
            </w:pP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3B3510E0" w14:textId="77777777" w:rsidR="00760D16" w:rsidRPr="00760D16" w:rsidRDefault="00760D16" w:rsidP="005E1487">
            <w:pPr>
              <w:jc w:val="both"/>
            </w:pPr>
            <w:r w:rsidRPr="00760D16">
              <w:t xml:space="preserve">Инициативная разработка. </w:t>
            </w:r>
          </w:p>
          <w:p w14:paraId="794F0074" w14:textId="5E5342C3" w:rsidR="009D79D2" w:rsidRPr="00760D16" w:rsidRDefault="00760D16" w:rsidP="005E1487">
            <w:pPr>
              <w:jc w:val="both"/>
            </w:pPr>
            <w:r w:rsidRPr="00760D16">
              <w:t>Договор № 427/с от 10.08.2023 г. между РГП «Казахстанский институт стандартизации и метрологии» и ТОО «</w:t>
            </w:r>
            <w:proofErr w:type="spellStart"/>
            <w:r w:rsidRPr="00760D16">
              <w:t>Капшагай</w:t>
            </w:r>
            <w:proofErr w:type="spellEnd"/>
            <w:r w:rsidRPr="00760D16">
              <w:t xml:space="preserve"> Палас»</w:t>
            </w:r>
          </w:p>
          <w:p w14:paraId="4D1F6ED4" w14:textId="7D2CB9EB" w:rsidR="00760D16" w:rsidRPr="008924DA" w:rsidRDefault="00760D16" w:rsidP="005E1487">
            <w:pPr>
              <w:jc w:val="both"/>
              <w:rPr>
                <w:color w:val="FF0000"/>
              </w:rPr>
            </w:pP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2E7C405E" w:rsidR="00974C3B" w:rsidRPr="00897004" w:rsidRDefault="00760D16" w:rsidP="002B7D69">
            <w:pPr>
              <w:jc w:val="both"/>
            </w:pPr>
            <w:r>
              <w:t>сентябрь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09D2789" w:rsidR="007D2223" w:rsidRPr="00CB7CE9" w:rsidRDefault="00FA5F1D" w:rsidP="00445157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B6441D" w:rsidP="002B7D69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270AC56" w:rsidR="00CA3F17" w:rsidRPr="00897004" w:rsidRDefault="00760D16" w:rsidP="002B7D69">
            <w:pPr>
              <w:jc w:val="both"/>
            </w:pPr>
            <w:r>
              <w:t>ноябрь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1487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0D16"/>
    <w:rsid w:val="00784195"/>
    <w:rsid w:val="007913D5"/>
    <w:rsid w:val="007B0CA5"/>
    <w:rsid w:val="007D2223"/>
    <w:rsid w:val="007D6CA1"/>
    <w:rsid w:val="007E1E3C"/>
    <w:rsid w:val="00822C36"/>
    <w:rsid w:val="00834B2D"/>
    <w:rsid w:val="00852B15"/>
    <w:rsid w:val="00874EAE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441D"/>
    <w:rsid w:val="00B674A2"/>
    <w:rsid w:val="00B81D2B"/>
    <w:rsid w:val="00B9705C"/>
    <w:rsid w:val="00BA2764"/>
    <w:rsid w:val="00BC683D"/>
    <w:rsid w:val="00BD502C"/>
    <w:rsid w:val="00BF0BC5"/>
    <w:rsid w:val="00C02384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2C0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CF21A51A-543E-47AA-987B-D8166475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27</cp:revision>
  <cp:lastPrinted>2022-12-06T06:08:00Z</cp:lastPrinted>
  <dcterms:created xsi:type="dcterms:W3CDTF">2022-07-21T09:38:00Z</dcterms:created>
  <dcterms:modified xsi:type="dcterms:W3CDTF">2023-09-21T13:43:00Z</dcterms:modified>
</cp:coreProperties>
</file>