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4CB5303B" w14:textId="6443FCD5" w:rsidR="001A2797" w:rsidRDefault="009967DC" w:rsidP="000E4863">
      <w:pPr>
        <w:pStyle w:val="a3"/>
        <w:ind w:left="1604" w:right="1540" w:hanging="238"/>
        <w:jc w:val="center"/>
      </w:pPr>
      <w:r w:rsidRPr="009967DC">
        <w:t>СТ РК «Патроны к газовым пистолетам, револьверам, стреляющим устройствам и газовому бесствольному оружию. Требования безопасности. Виды и методы контроля при сертификационных испытаниях на безопасность»</w:t>
      </w:r>
    </w:p>
    <w:p w14:paraId="5135DD7F" w14:textId="77777777" w:rsidR="00EC4E53" w:rsidRPr="004B0D32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kz</w:t>
              </w:r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5EA202D0" w:rsidR="001A2797" w:rsidRPr="004B0D32" w:rsidRDefault="009967DC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9967DC">
              <w:rPr>
                <w:sz w:val="24"/>
                <w:lang w:val="kk-KZ"/>
              </w:rPr>
              <w:t>СТ РК «Патроны к газовым пистолетам, револьверам, стреляющим устройствам и газовому бесствольному оружию. Требования безопасности. Виды и методы контроля при сертификационных испытаниях на безопасность»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79F75B35" w:rsidR="001A2797" w:rsidRPr="00151A13" w:rsidRDefault="009967D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9967DC">
              <w:rPr>
                <w:sz w:val="24"/>
                <w:lang w:val="kk-KZ"/>
              </w:rPr>
              <w:t>Объектом стандартизации являются продукции оружия и боеприпасов к ним.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31DA5495" w:rsidR="001A2797" w:rsidRDefault="009967DC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9967DC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115-НҚ от 27.03.2024)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05FEE702" w:rsidR="001A2797" w:rsidRDefault="009967DC" w:rsidP="00EC4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Май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>А. Сопбеков</w:t>
      </w:r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E4863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D24F6E"/>
    <w:rsid w:val="00DA7B0C"/>
    <w:rsid w:val="00E4601F"/>
    <w:rsid w:val="00E82255"/>
    <w:rsid w:val="00EC4E53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24</cp:revision>
  <cp:lastPrinted>2022-11-03T04:14:00Z</cp:lastPrinted>
  <dcterms:created xsi:type="dcterms:W3CDTF">2023-03-15T12:06:00Z</dcterms:created>
  <dcterms:modified xsi:type="dcterms:W3CDTF">2024-06-14T05:42:00Z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