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AB4AB7" w:rsidRDefault="00CB10CD" w:rsidP="00AB4AB7">
      <w:pPr>
        <w:jc w:val="center"/>
        <w:rPr>
          <w:b/>
        </w:rPr>
      </w:pPr>
      <w:r w:rsidRPr="00CB10CD">
        <w:rPr>
          <w:b/>
        </w:rPr>
        <w:t>СТ РК 1687 «Угли Куу-Чекинского месторождения. Общие технические условия»</w:t>
      </w:r>
    </w:p>
    <w:p w:rsidR="00CB10CD" w:rsidRPr="0037452F" w:rsidRDefault="00CB10CD" w:rsidP="00AB4AB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sz w:val="22"/>
              </w:rPr>
            </w:pPr>
            <w:r w:rsidRPr="00307003">
              <w:rPr>
                <w:b/>
                <w:sz w:val="22"/>
              </w:rPr>
              <w:t xml:space="preserve">Разработчик </w:t>
            </w:r>
            <w:r w:rsidRPr="00307003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010000, г. Нур-Султан, пр. Мәнгілік Ел,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Тел: +7(7172) 28-29-61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+7(7172) 28-29-35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E-mail: info@ksm.kz</w:t>
            </w:r>
          </w:p>
          <w:p w:rsidR="00797CB8" w:rsidRPr="00307003" w:rsidRDefault="00CB10CD" w:rsidP="00C04E39">
            <w:pPr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Никифорова Анастасия Сергеевна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AB4AB7" w:rsidRDefault="00CB10CD" w:rsidP="00A22375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CB10CD">
              <w:rPr>
                <w:sz w:val="22"/>
                <w:szCs w:val="22"/>
              </w:rPr>
              <w:t>СТ РК 1687 «Угли Куу-Чекинского месторождения. Общие технические условия»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A22375" w:rsidRDefault="00836758" w:rsidP="0093541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836758" w:rsidRPr="00307003" w:rsidRDefault="00836758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FA711D" w:rsidRDefault="00CB10CD" w:rsidP="00815E0B">
            <w:pPr>
              <w:jc w:val="both"/>
              <w:rPr>
                <w:bCs/>
                <w:sz w:val="22"/>
                <w:highlight w:val="yellow"/>
              </w:rPr>
            </w:pPr>
            <w:r w:rsidRPr="00CB10CD">
              <w:rPr>
                <w:sz w:val="22"/>
                <w:szCs w:val="22"/>
              </w:rPr>
              <w:t>Угли Куу-Чекинского месторождения</w:t>
            </w:r>
            <w:bookmarkStart w:id="1" w:name="_GoBack"/>
            <w:bookmarkEnd w:id="1"/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>Заместитель Генерального директора                                                 С. Радаев</w:t>
      </w:r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02" w:rsidRDefault="009F3402" w:rsidP="001D2D6F">
      <w:r>
        <w:separator/>
      </w:r>
    </w:p>
  </w:endnote>
  <w:endnote w:type="continuationSeparator" w:id="0">
    <w:p w:rsidR="009F3402" w:rsidRDefault="009F3402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02" w:rsidRDefault="009F3402" w:rsidP="001D2D6F">
      <w:r>
        <w:separator/>
      </w:r>
    </w:p>
  </w:footnote>
  <w:footnote w:type="continuationSeparator" w:id="0">
    <w:p w:rsidR="009F3402" w:rsidRDefault="009F3402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0E1E2F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9F3402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B3BC6"/>
    <w:rsid w:val="00AB4AB7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B10CD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1174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2</cp:revision>
  <cp:lastPrinted>2022-05-19T03:34:00Z</cp:lastPrinted>
  <dcterms:created xsi:type="dcterms:W3CDTF">2022-07-25T09:37:00Z</dcterms:created>
  <dcterms:modified xsi:type="dcterms:W3CDTF">2022-07-25T09:37:00Z</dcterms:modified>
</cp:coreProperties>
</file>